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20" w:righ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2                 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守重企业</w:t>
      </w:r>
      <w:r>
        <w:rPr>
          <w:rFonts w:hint="eastAsia" w:ascii="方正小标宋简体" w:hAnsi="方正小标宋简体" w:eastAsia="方正小标宋简体" w:cs="方正小标宋简体"/>
          <w:lang w:val="en-US" w:eastAsia="zh-Hans"/>
        </w:rPr>
        <w:t>申报填写说明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lang w:eastAsia="zh-CN"/>
        </w:rPr>
      </w:pP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本申报表由企业自行填报，所填报的信息数据为公示年度内的信息数据。请认真阅读《承诺书》相关内容，并加盖企业公章。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一、企业基本信息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13"/>
        <w:textAlignment w:val="auto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1.请按照企业法人营业执照的内容填写。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13"/>
        <w:textAlignment w:val="auto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2.企业划型（大、中、小、微型）：参见工信部联企业〔2011〕300号和国统字〔2017〕213号文件。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  <w:t>大中小微型企业划分标准</w:t>
      </w:r>
    </w:p>
    <w:tbl>
      <w:tblPr>
        <w:tblStyle w:val="16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1278"/>
        <w:gridCol w:w="941"/>
        <w:gridCol w:w="1179"/>
        <w:gridCol w:w="1475"/>
        <w:gridCol w:w="1390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行业名称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Y≥20000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500≤Y＜20000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50≤Y＜500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 *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X≥1000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300≤X＜1000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20≤X＜300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Y≥40000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2000≤Y＜40000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300≤Y＜2000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Y≥80000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6000≤Y＜80000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300≤Y＜6000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资产总额(Z)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Z≥80000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5000≤Z＜80000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300≤Z＜5000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Z＜300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X≥200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20≤X＜200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5≤X＜20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Y≥40000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5000≤Y＜40000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1000≤Y＜5000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50≤X＜300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10≤X＜50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Y≥20000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500≤Y＜20000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100≤Y＜500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X≥1000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300≤X＜1000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20≤X＜300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Y≥30000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3000≤Y＜30000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200≤Y＜3000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X≥200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100≤X＜200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20≤X＜100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Y≥30000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1000≤Y＜30000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100≤Y＜1000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X≥1000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300≤X＜1000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20≤X＜300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Y≥30000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2000≤Y＜30000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100≤Y＜2000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10≤X＜100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Y≥10000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2000≤Y＜10000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100≤Y＜2000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10≤X＜100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Y≥10000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2000≤Y＜10000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100≤Y＜2000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信息传输业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X≥2000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100≤X＜2000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10≤X＜100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Y≥100000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1000≤Y＜100000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100≤Y＜1000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10≤X＜100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Y≥10000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1000≤Y＜10000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50≤Y＜1000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房地产开发经营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Y≥200000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1000≤Y＜200000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100≤Y＜1000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资产总额(Z)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Z≥10000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5000≤Z＜10000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2000≤Z＜5000 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Z＜2000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X≥1000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300≤X＜1000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100≤X＜300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营业收入(Y)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Y≥5000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1000≤Y＜5000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500≤Y＜1000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Y＜500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10≤X＜100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资产总额(Z)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Z≥120000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8000≤Z＜120000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100≤Z＜8000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从业人员(X)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X≥300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100≤X＜300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10≤X＜100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X＜10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二、品牌和经营管理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1.年末资产总额、年营业收入：根据公示年度内的财务报表填写。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2.认证情况：填写目前仍有效的认证，包括质量、环保、产品、服务及其他认证等，并提供相关佐证材料。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3.知识产权：指尚在有效期内的各类知识产权，填写专利权、著作权、注册商标数量，商标是否是驰名商标，并提供相关佐证材料。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4.经营资质：根据企业所处行业有无特许资质和许可证、企业是否取得特许资质和许可证；企业所处行业是否有经营资质等级、企业获得资质等级情况依次勾选，并提供相关佐证材料。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lang w:eastAsia="zh-CN"/>
        </w:rPr>
        <w:t>合同信用管理状况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1.书面合同签约率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收入性合同书面签约率：当年签订的收入性合同书面签约率。计算方法: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0700" cy="283210"/>
            <wp:effectExtent l="0" t="0" r="12700" b="2540"/>
            <wp:docPr id="1" name="图片 1" descr="1705977756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5977756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（其中A=当年签订的收入性书面合同金额，B=销售总额）；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支出性合同书面签约率：当年签订的支出性合同书面签约率。计算方法: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77850" cy="330200"/>
            <wp:effectExtent l="0" t="0" r="12700" b="12700"/>
            <wp:docPr id="2" name="图片 2" descr="1705977756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5977756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（其中A=当年签订的支出性书面合同金额，B=采购总额）。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2.行业是否推广使用合同示范文本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合同示范文本是指由各级行政主管部门制定、发布，或者会同有关主管部门、行业自律组织制定、发布的，供合同当事人参照使用的合同范本。行业内有无合同示范文本，指在本行业内是否有合同示范文本。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四、合同履约状况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1.收入性合同履约率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当年收入性合同的实际履约率。指标取值：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867410" cy="304800"/>
            <wp:effectExtent l="0" t="0" r="8890" b="0"/>
            <wp:docPr id="5" name="图片 3" descr="1705977833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7059778330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(其中，A=当年实际履行的收入性合同份数，B=当年应当履行收入性合同份数，C=不可抗力、对方违约份数，D=当年实际履行的收入性合同金额，E=当年应当履行收入性合同金额，F=不可抗力、对方违约金额)。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2.支出性合同履约率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当年支出性合同的实际履约率。指标取值：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835660" cy="322580"/>
            <wp:effectExtent l="0" t="0" r="2540" b="1270"/>
            <wp:docPr id="6" name="图片 4" descr="1705977918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17059779182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(其中，A=当年实际履行的支出性合同份数，B=当年应当履行支出性合同份数，C=不可抗力、对方违约份数，D=当年实际履行的支出性合同金额，E=当年应当履行支出性合同金额，F=不可抗力、对方违约金额)。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3.期末应收款占收入性合同总额比例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期末应收款所占收入性合同总额的比例。指标取值：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28650" cy="361950"/>
            <wp:effectExtent l="0" t="0" r="0" b="0"/>
            <wp:docPr id="8" name="图片 5" descr="170597810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17059781021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(其中，A=期末应收款余额，B=当年应当履行的收入性合同总额)。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4.期末应付款占支出性合同总额比例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期末应付款所占支出性合同总额的比例。指标取值：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71500" cy="323850"/>
            <wp:effectExtent l="0" t="0" r="0" b="0"/>
            <wp:docPr id="9" name="图片 6" descr="170597826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17059782653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(其中，A=期末应付款余额，B=当年应当履行的支出性合同总额)。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5.合同变更率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合同变更的比例。指标取值：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723265" cy="295910"/>
            <wp:effectExtent l="0" t="0" r="635" b="8890"/>
            <wp:docPr id="10" name="图片 7" descr="1705977864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17059778643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其中，A=合同变更份数，B=书面合同份数，C=合同变更总金额，D=书面合同总金额)。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6.合同解除率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协议解除合同率：合同被协议解除的比例。指标取值：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790575" cy="323850"/>
            <wp:effectExtent l="0" t="0" r="9525" b="0"/>
            <wp:docPr id="11" name="图片 8" descr="170597801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17059780136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，A=协议解除合同份数，B=书面合同份数，C=协议解除合同总金额，D=书面合同总金额)；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其他形式解除合同率:协议解除以外其他方式解除合同的比例。指标取值：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85800" cy="342900"/>
            <wp:effectExtent l="0" t="0" r="0" b="0"/>
            <wp:docPr id="12" name="图片 9" descr="170597801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17059780136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(其中，A=其他形式解除合同份数，B=书面合同份数，C=其他形式解除合同总金额，D=书面合同总金额)。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7.合同撤销率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合同被撤销的比例。指标取值：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95960" cy="283210"/>
            <wp:effectExtent l="0" t="0" r="8890" b="2540"/>
            <wp:docPr id="13" name="图片 10" descr="1705978068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17059780687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(其中，A=合同撤销份数，B=书面合同份数，C=合同撤销总金额，D=书面合同总金额)。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8.合同未履行率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到期未履行的合同比例。指标取值：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28650" cy="245110"/>
            <wp:effectExtent l="0" t="0" r="0" b="2540"/>
            <wp:docPr id="14" name="图片 11" descr="1705978217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17059782178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(其中，A=实际到期未履行的合同总份数，B=当年应当履行合同总份数，C=实际到期未履行的合同总金额，D=当年应当履行合同总金额)。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五、企业经营效益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1.营业收入增长率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企业营业收入的年增长率。指标取值：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768350" cy="304800"/>
            <wp:effectExtent l="0" t="0" r="12700" b="0"/>
            <wp:docPr id="15" name="图片 12" descr="1705978325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17059783251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，A=当年营业收入，B=上年营业收入，C=上年营业收入)。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2.主营业务利润率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主营业务的利润率。指标取值：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730250" cy="304800"/>
            <wp:effectExtent l="0" t="0" r="12700" b="0"/>
            <wp:docPr id="16" name="图片 13" descr="1705978388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17059783883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(其中，A=主营业务收入，B=主营业务成本，C=主营业务收入)。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3.净资产收益率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净资产的收益率。指标取值：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71550" cy="285750"/>
            <wp:effectExtent l="0" t="0" r="0" b="0"/>
            <wp:docPr id="17" name="图片 14" descr="1705978468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170597846860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(其中，A=净利润，B=净资产年初数，C=净资产年末数)。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4.资产负债率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资产的负债率。指标取值：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09600" cy="323850"/>
            <wp:effectExtent l="0" t="0" r="0" b="0"/>
            <wp:docPr id="18" name="图片 15" descr="170597851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170597851837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(其中，A=负债总额，B=资产总额)。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5.速动比率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速动资产对流动负债的比率。它是衡量企业流动资产中可以立即变现用于偿还流动负债的能力。指标取值：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768350" cy="330200"/>
            <wp:effectExtent l="0" t="0" r="12700" b="12700"/>
            <wp:docPr id="19" name="图片 16" descr="170597835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17059783552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(其中，A=流动资产，B=存货，C=流动负债)。年末数。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.逾期账款占应收账款比例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逾期账款占应收账款比例。指标取值：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09600" cy="323850"/>
            <wp:effectExtent l="0" t="0" r="0" b="0"/>
            <wp:docPr id="20" name="图片 17" descr="170597851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 descr="170597851837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，A=逾期应收账款，逾期应收账款：指应收账款中超过收入性合同约定期限，到期应收而未收的款项。B=应收账款年末数)。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.逾期账款占应付账款比例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逾期账款应付账款比例。指标取值：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09600" cy="323850"/>
            <wp:effectExtent l="0" t="0" r="0" b="0"/>
            <wp:docPr id="21" name="图片 18" descr="170597851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170597851837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，A=逾期应付账款，逾期应付账款：指应付账款中超过支出性合同约定期限，到期应付而未付的款项。B=应付账款年末数)。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六、企业社会信誉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1.荣誉记录填写在评价年度内有效的由国务院、国家部委、省级政府、其他地市级（含）以上政府颁发的荣誉，并提供相关佐证材料。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2.社会贡献总额：以货币形式表现的企业为社会创造国民收入的总额，包括工资（含奖金、津贴等工资性收入，即企业在成本、费用中列支的应提工资数额）、劳保退休统筹及其他社会福利支出、利息支出净额、应交增值税、应交销售税金及附加、应交所得税、关税、其他税收、净利润等。要求企业按照实际情况进行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.有资质的信用评级机构指取得政府有关部门资格审批、认可的信用评级机构。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.已完成信用修复的企业须提供相关佐证材料。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Hans"/>
        </w:rPr>
      </w:pP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.企业信用评价等级须提供相关佐证材料。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13"/>
        <w:jc w:val="left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Hans"/>
        </w:rPr>
        <w:t>“企业信用状况资料”获取方式</w:t>
      </w: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登录https://www.creditchina.</w:t>
      </w:r>
      <w:r>
        <w:rPr>
          <w:rFonts w:hint="default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g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ov.cn/，输入公司名称搜索，点击“下载信用信息报告”</w:t>
      </w:r>
      <w:r>
        <w:rPr>
          <w:rFonts w:hint="default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七、社会责任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Han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社会保险证明材料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val="en-US" w:eastAsia="zh-Hans"/>
        </w:rPr>
        <w:t>”获取方式</w:t>
      </w:r>
      <w:r>
        <w:rPr>
          <w:rFonts w:hint="eastAsia" w:ascii="仿宋_GB2312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。登录“湖北政务服务网”（https://zwfw.hubei.gov.cn/），在首页点击“企业职工养老保险信息系统”，登录后点击“社保电子证明”，再选择“单位社会保险参保证明”。在页面上选择需要查询的险种和具体时间段，选中人员信息后点击“预览”，确认无误后下载《湖北省社会保险参保证明（单位专用）》即可。</w:t>
      </w:r>
      <w:bookmarkStart w:id="0" w:name="_GoBack"/>
      <w:bookmarkEnd w:id="0"/>
    </w:p>
    <w:sectPr>
      <w:footerReference r:id="rId3" w:type="default"/>
      <w:pgSz w:w="11922" w:h="16838"/>
      <w:pgMar w:top="2098" w:right="1474" w:bottom="1984" w:left="1587" w:header="850" w:footer="1701" w:gutter="0"/>
      <w:pgNumType w:fmt="numberInDash"/>
      <w:cols w:space="72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iguUscBAABt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63"/>
    <w:multiLevelType w:val="multilevel"/>
    <w:tmpl w:val="01303F63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7D1F5E"/>
    <w:rsid w:val="052B7F85"/>
    <w:rsid w:val="06613656"/>
    <w:rsid w:val="0BBE1EA6"/>
    <w:rsid w:val="0ED56F9B"/>
    <w:rsid w:val="111830F9"/>
    <w:rsid w:val="13A05F18"/>
    <w:rsid w:val="17A96C74"/>
    <w:rsid w:val="18700803"/>
    <w:rsid w:val="1C182C25"/>
    <w:rsid w:val="20CD7345"/>
    <w:rsid w:val="23F801F4"/>
    <w:rsid w:val="27145B0D"/>
    <w:rsid w:val="2A066F30"/>
    <w:rsid w:val="2F4D269C"/>
    <w:rsid w:val="30F46B41"/>
    <w:rsid w:val="32FB4D70"/>
    <w:rsid w:val="3310716B"/>
    <w:rsid w:val="39E76179"/>
    <w:rsid w:val="3D2C304D"/>
    <w:rsid w:val="401A5078"/>
    <w:rsid w:val="431D674E"/>
    <w:rsid w:val="461A5FE6"/>
    <w:rsid w:val="4A2B48F3"/>
    <w:rsid w:val="4F907066"/>
    <w:rsid w:val="50636949"/>
    <w:rsid w:val="5753522A"/>
    <w:rsid w:val="597A34AF"/>
    <w:rsid w:val="5A714DE5"/>
    <w:rsid w:val="5AC60C4D"/>
    <w:rsid w:val="5EBC4273"/>
    <w:rsid w:val="62054EF6"/>
    <w:rsid w:val="642A05FE"/>
    <w:rsid w:val="64AF05E0"/>
    <w:rsid w:val="66E226FD"/>
    <w:rsid w:val="6904028B"/>
    <w:rsid w:val="6B94334A"/>
    <w:rsid w:val="6E434D92"/>
    <w:rsid w:val="700E4574"/>
    <w:rsid w:val="75F70157"/>
    <w:rsid w:val="76D774BE"/>
    <w:rsid w:val="76E86AC2"/>
    <w:rsid w:val="78DA7368"/>
    <w:rsid w:val="7985716A"/>
    <w:rsid w:val="7FA64C5C"/>
    <w:rsid w:val="DFFF5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仿宋_GB2312"/>
      <w:kern w:val="0"/>
      <w:sz w:val="32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5"/>
    <w:qFormat/>
    <w:uiPriority w:val="99"/>
    <w:pPr>
      <w:ind w:firstLine="720"/>
    </w:pPr>
  </w:style>
  <w:style w:type="paragraph" w:styleId="5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both"/>
    </w:pPr>
    <w:rPr>
      <w:rFonts w:hint="default" w:ascii="Times New Roman" w:hAnsi="Times New Roman" w:eastAsia="小标宋" w:cs="Times New Roman"/>
      <w:kern w:val="2"/>
      <w:sz w:val="44"/>
      <w:szCs w:val="20"/>
      <w:lang w:val="en-US" w:eastAsia="zh-CN" w:bidi="ar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uiPriority w:val="0"/>
    <w:rPr>
      <w:rFonts w:ascii="宋体" w:hAnsi="Courier New" w:cs="Courier New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uiPriority w:val="0"/>
  </w:style>
  <w:style w:type="paragraph" w:styleId="12">
    <w:name w:val="Normal (Web)"/>
    <w:basedOn w:val="1"/>
    <w:unhideWhenUsed/>
    <w:uiPriority w:val="99"/>
    <w:rPr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0"/>
    <w:rPr>
      <w:rFonts w:ascii="Times New Roman" w:hAnsi="Times New Roman" w:eastAsia="宋体" w:cs="Times New Roman"/>
      <w:i/>
    </w:rPr>
  </w:style>
  <w:style w:type="table" w:styleId="17">
    <w:name w:val="Table Grid"/>
    <w:basedOn w:val="1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1政文标题"/>
    <w:basedOn w:val="1"/>
    <w:next w:val="1"/>
    <w:qFormat/>
    <w:uiPriority w:val="0"/>
    <w:pPr>
      <w:numPr>
        <w:ilvl w:val="0"/>
        <w:numId w:val="1"/>
      </w:numPr>
      <w:ind w:left="0" w:firstLine="708"/>
      <w:outlineLvl w:val="0"/>
    </w:pPr>
    <w:rPr>
      <w:rFonts w:ascii="方正黑体_GBK" w:hAnsi="DejaVu Sans" w:eastAsia="方正黑体_GBK"/>
      <w:bCs/>
      <w:szCs w:val="24"/>
    </w:rPr>
  </w:style>
  <w:style w:type="paragraph" w:customStyle="1" w:styleId="19">
    <w:name w:val="政文大标题"/>
    <w:basedOn w:val="1"/>
    <w:next w:val="1"/>
    <w:qFormat/>
    <w:uiPriority w:val="0"/>
    <w:pPr>
      <w:spacing w:line="700" w:lineRule="exact"/>
      <w:ind w:firstLine="0" w:firstLineChars="0"/>
      <w:jc w:val="center"/>
    </w:pPr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20">
    <w:name w:val="font11"/>
    <w:basedOn w:val="13"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zhaoxinlei</dc:creator>
  <cp:lastModifiedBy>陈文</cp:lastModifiedBy>
  <cp:lastPrinted>2026-05-09T01:08:00Z</cp:lastPrinted>
  <dcterms:modified xsi:type="dcterms:W3CDTF">2026-05-11T08:13:08Z</dcterms:modified>
  <dc:title>关于印发《武汉市食品摊贩监督管理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BCAECEBA7EA544EF1B94206779665879</vt:lpwstr>
  </property>
</Properties>
</file>