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B51FF">
      <w:pPr>
        <w:tabs>
          <w:tab w:val="center" w:pos="6663"/>
        </w:tabs>
        <w:rPr>
          <w:rFonts w:hint="default" w:ascii="Times New Roman" w:hAnsi="Times New Roman" w:eastAsia="黑体" w:cs="Times New Roman"/>
          <w:sz w:val="32"/>
          <w:highlight w:val="none"/>
          <w:lang w:eastAsia="zh-CN"/>
        </w:rPr>
      </w:pPr>
      <w:bookmarkStart w:id="2" w:name="_GoBack"/>
      <w:bookmarkEnd w:id="2"/>
      <w:r>
        <w:rPr>
          <w:rFonts w:hint="default" w:ascii="Times New Roman" w:hAnsi="Times New Roman" w:eastAsia="黑体" w:cs="Times New Roman"/>
          <w:sz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32"/>
          <w:highlight w:val="none"/>
          <w:lang w:val="en-US" w:eastAsia="zh-CN"/>
        </w:rPr>
        <w:t>2</w:t>
      </w:r>
    </w:p>
    <w:p w14:paraId="0B2E8767"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highlight w:val="none"/>
        </w:rPr>
      </w:pPr>
    </w:p>
    <w:p w14:paraId="1F1BF48C">
      <w:pPr>
        <w:spacing w:line="360" w:lineRule="auto"/>
        <w:jc w:val="left"/>
        <w:rPr>
          <w:rFonts w:hint="default" w:ascii="Times New Roman" w:hAnsi="Times New Roman" w:eastAsia="仿宋_GB2312" w:cs="Times New Roman"/>
          <w:sz w:val="32"/>
          <w:highlight w:val="none"/>
        </w:rPr>
      </w:pPr>
    </w:p>
    <w:p w14:paraId="2EDFEC84">
      <w:pPr>
        <w:spacing w:line="360" w:lineRule="auto"/>
        <w:jc w:val="left"/>
        <w:rPr>
          <w:rFonts w:hint="default" w:ascii="Times New Roman" w:hAnsi="Times New Roman" w:eastAsia="仿宋_GB2312" w:cs="Times New Roman"/>
          <w:sz w:val="32"/>
          <w:highlight w:val="none"/>
        </w:rPr>
      </w:pPr>
    </w:p>
    <w:p w14:paraId="1192AF25">
      <w:pPr>
        <w:pStyle w:val="49"/>
        <w:adjustRightInd w:val="0"/>
        <w:spacing w:before="0" w:after="0" w:line="594" w:lineRule="exact"/>
        <w:rPr>
          <w:rFonts w:hint="default" w:ascii="Times New Roman" w:hAnsi="Times New Roman" w:eastAsia="方正小标宋简体" w:cs="Times New Roman"/>
          <w:b w:val="0"/>
          <w:sz w:val="44"/>
          <w:highlight w:val="none"/>
          <w:lang w:val="en-US"/>
        </w:rPr>
      </w:pPr>
      <w:r>
        <w:rPr>
          <w:rFonts w:hint="eastAsia" w:ascii="Times New Roman" w:hAnsi="Times New Roman" w:eastAsia="方正小标宋简体" w:cs="Times New Roman"/>
          <w:b w:val="0"/>
          <w:sz w:val="44"/>
          <w:szCs w:val="22"/>
          <w:highlight w:val="none"/>
          <w:lang w:val="en-US" w:eastAsia="zh-CN"/>
        </w:rPr>
        <w:t>2025年度</w:t>
      </w:r>
      <w:r>
        <w:rPr>
          <w:rFonts w:hint="default" w:ascii="Times New Roman" w:hAnsi="Times New Roman" w:eastAsia="方正小标宋简体" w:cs="Times New Roman"/>
          <w:b w:val="0"/>
          <w:sz w:val="44"/>
          <w:szCs w:val="22"/>
          <w:highlight w:val="none"/>
          <w:lang w:eastAsia="zh-CN"/>
        </w:rPr>
        <w:t>国家绿色数据中心</w:t>
      </w:r>
      <w:r>
        <w:rPr>
          <w:rFonts w:hint="eastAsia" w:ascii="Times New Roman" w:hAnsi="Times New Roman" w:eastAsia="方正小标宋简体" w:cs="Times New Roman"/>
          <w:b w:val="0"/>
          <w:sz w:val="44"/>
          <w:szCs w:val="22"/>
          <w:highlight w:val="none"/>
          <w:lang w:val="en-US" w:eastAsia="zh-CN"/>
        </w:rPr>
        <w:t>自评价</w:t>
      </w:r>
      <w:r>
        <w:rPr>
          <w:rFonts w:hint="eastAsia" w:ascii="Times New Roman" w:hAnsi="Times New Roman" w:eastAsia="方正小标宋简体" w:cs="Times New Roman"/>
          <w:b w:val="0"/>
          <w:sz w:val="44"/>
          <w:szCs w:val="22"/>
          <w:highlight w:val="none"/>
          <w:lang w:val="en-US" w:eastAsia="zh-CN"/>
        </w:rPr>
        <w:t>报告</w:t>
      </w:r>
    </w:p>
    <w:p w14:paraId="28890363">
      <w:pPr>
        <w:spacing w:line="360" w:lineRule="auto"/>
        <w:rPr>
          <w:rFonts w:hint="default" w:ascii="Times New Roman" w:hAnsi="Times New Roman" w:cs="Times New Roman"/>
          <w:highlight w:val="none"/>
        </w:rPr>
      </w:pPr>
    </w:p>
    <w:p w14:paraId="498D2D6E">
      <w:pPr>
        <w:spacing w:line="360" w:lineRule="auto"/>
        <w:rPr>
          <w:rFonts w:hint="default" w:ascii="Times New Roman" w:hAnsi="Times New Roman" w:cs="Times New Roman"/>
          <w:sz w:val="32"/>
          <w:highlight w:val="none"/>
        </w:rPr>
      </w:pPr>
    </w:p>
    <w:p w14:paraId="7E152E63">
      <w:pPr>
        <w:spacing w:line="360" w:lineRule="auto"/>
        <w:rPr>
          <w:rFonts w:hint="default" w:ascii="Times New Roman" w:hAnsi="Times New Roman" w:cs="Times New Roman"/>
          <w:sz w:val="32"/>
          <w:highlight w:val="none"/>
        </w:rPr>
      </w:pPr>
    </w:p>
    <w:p w14:paraId="0DDB536E">
      <w:pPr>
        <w:spacing w:line="360" w:lineRule="auto"/>
        <w:rPr>
          <w:rFonts w:hint="default" w:ascii="Times New Roman" w:hAnsi="Times New Roman" w:cs="Times New Roman"/>
          <w:sz w:val="32"/>
          <w:highlight w:val="none"/>
        </w:rPr>
      </w:pPr>
    </w:p>
    <w:p w14:paraId="0D1BC211">
      <w:pPr>
        <w:spacing w:line="360" w:lineRule="auto"/>
        <w:rPr>
          <w:rFonts w:hint="default" w:ascii="Times New Roman" w:hAnsi="Times New Roman" w:cs="Times New Roman"/>
          <w:sz w:val="32"/>
          <w:highlight w:val="none"/>
        </w:rPr>
      </w:pPr>
    </w:p>
    <w:p w14:paraId="0D0625C1">
      <w:pPr>
        <w:spacing w:line="360" w:lineRule="auto"/>
        <w:rPr>
          <w:rFonts w:hint="default" w:ascii="Times New Roman" w:hAnsi="Times New Roman" w:cs="Times New Roman"/>
          <w:sz w:val="32"/>
          <w:highlight w:val="none"/>
        </w:rPr>
      </w:pPr>
    </w:p>
    <w:p w14:paraId="229D352C">
      <w:pPr>
        <w:spacing w:line="360" w:lineRule="auto"/>
        <w:rPr>
          <w:rFonts w:hint="default" w:ascii="Times New Roman" w:hAnsi="Times New Roman" w:cs="Times New Roman"/>
          <w:sz w:val="32"/>
          <w:highlight w:val="none"/>
        </w:rPr>
      </w:pPr>
    </w:p>
    <w:p w14:paraId="7B78F726">
      <w:pPr>
        <w:spacing w:line="360" w:lineRule="auto"/>
        <w:jc w:val="distribute"/>
        <w:rPr>
          <w:rFonts w:hint="default" w:ascii="Times New Roman" w:hAnsi="Times New Roman" w:eastAsia="楷体_GB2312" w:cs="Times New Roman"/>
          <w:sz w:val="32"/>
          <w:highlight w:val="none"/>
        </w:rPr>
      </w:pPr>
    </w:p>
    <w:tbl>
      <w:tblPr>
        <w:tblStyle w:val="1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0"/>
        <w:gridCol w:w="405"/>
        <w:gridCol w:w="4240"/>
      </w:tblGrid>
      <w:tr w14:paraId="16E25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659" w:hRule="atLeast"/>
          <w:jc w:val="center"/>
        </w:trPr>
        <w:tc>
          <w:tcPr>
            <w:tcW w:w="3580" w:type="dxa"/>
            <w:noWrap w:val="0"/>
            <w:vAlign w:val="top"/>
          </w:tcPr>
          <w:p w14:paraId="03BE85ED">
            <w:pPr>
              <w:jc w:val="distribute"/>
              <w:rPr>
                <w:rFonts w:hint="default" w:ascii="Times New Roman" w:hAnsi="Times New Roman" w:eastAsia="黑体" w:cs="Times New Roman"/>
                <w:sz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</w:rPr>
              <w:t>申</w:t>
            </w:r>
            <w:r>
              <w:rPr>
                <w:rFonts w:hint="default" w:ascii="Times New Roman" w:hAnsi="Times New Roman" w:eastAsia="黑体" w:cs="Times New Roman"/>
                <w:sz w:val="32"/>
                <w:lang w:eastAsia="zh-CN"/>
              </w:rPr>
              <w:t>报</w:t>
            </w:r>
            <w:r>
              <w:rPr>
                <w:rFonts w:hint="default" w:ascii="Times New Roman" w:hAnsi="Times New Roman" w:eastAsia="黑体" w:cs="Times New Roman"/>
                <w:sz w:val="32"/>
              </w:rPr>
              <w:t>单位（盖章）</w:t>
            </w:r>
          </w:p>
        </w:tc>
        <w:tc>
          <w:tcPr>
            <w:tcW w:w="405" w:type="dxa"/>
            <w:noWrap w:val="0"/>
            <w:vAlign w:val="top"/>
          </w:tcPr>
          <w:p w14:paraId="0374CED8">
            <w:pPr>
              <w:spacing w:line="360" w:lineRule="auto"/>
              <w:jc w:val="distribute"/>
              <w:rPr>
                <w:rFonts w:hint="default" w:ascii="Times New Roman" w:hAnsi="Times New Roman" w:eastAsia="黑体" w:cs="Times New Roman"/>
                <w:sz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highlight w:val="none"/>
              </w:rPr>
              <w:t>：</w:t>
            </w:r>
          </w:p>
        </w:tc>
        <w:tc>
          <w:tcPr>
            <w:tcW w:w="4240" w:type="dxa"/>
            <w:noWrap w:val="0"/>
            <w:vAlign w:val="top"/>
          </w:tcPr>
          <w:p w14:paraId="6778F652">
            <w:pPr>
              <w:spacing w:line="360" w:lineRule="auto"/>
              <w:jc w:val="distribute"/>
              <w:rPr>
                <w:rFonts w:hint="default" w:ascii="Times New Roman" w:hAnsi="Times New Roman" w:eastAsia="楷体_GB2312" w:cs="Times New Roman"/>
                <w:sz w:val="32"/>
                <w:highlight w:val="none"/>
              </w:rPr>
            </w:pPr>
          </w:p>
        </w:tc>
      </w:tr>
      <w:tr w14:paraId="698A5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659" w:hRule="atLeast"/>
          <w:jc w:val="center"/>
        </w:trPr>
        <w:tc>
          <w:tcPr>
            <w:tcW w:w="3580" w:type="dxa"/>
            <w:noWrap w:val="0"/>
            <w:vAlign w:val="top"/>
          </w:tcPr>
          <w:p w14:paraId="08BC015B">
            <w:pPr>
              <w:jc w:val="distribute"/>
              <w:rPr>
                <w:rFonts w:hint="default" w:ascii="Times New Roman" w:hAnsi="Times New Roman" w:eastAsia="黑体" w:cs="Times New Roman"/>
                <w:sz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</w:rPr>
              <w:t>数据中心名称</w:t>
            </w:r>
          </w:p>
        </w:tc>
        <w:tc>
          <w:tcPr>
            <w:tcW w:w="405" w:type="dxa"/>
            <w:noWrap w:val="0"/>
            <w:vAlign w:val="top"/>
          </w:tcPr>
          <w:p w14:paraId="739BD993">
            <w:pPr>
              <w:spacing w:line="360" w:lineRule="auto"/>
              <w:jc w:val="distribute"/>
              <w:rPr>
                <w:rFonts w:hint="default" w:ascii="Times New Roman" w:hAnsi="Times New Roman" w:eastAsia="黑体" w:cs="Times New Roman"/>
                <w:sz w:val="3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22"/>
                <w:highlight w:val="none"/>
              </w:rPr>
              <w:t>：</w:t>
            </w:r>
          </w:p>
        </w:tc>
        <w:tc>
          <w:tcPr>
            <w:tcW w:w="4240" w:type="dxa"/>
            <w:noWrap w:val="0"/>
            <w:vAlign w:val="top"/>
          </w:tcPr>
          <w:p w14:paraId="62C76D09">
            <w:pPr>
              <w:spacing w:line="360" w:lineRule="auto"/>
              <w:jc w:val="distribute"/>
              <w:rPr>
                <w:rFonts w:hint="default" w:ascii="Times New Roman" w:hAnsi="Times New Roman" w:eastAsia="楷体_GB2312" w:cs="Times New Roman"/>
                <w:sz w:val="32"/>
                <w:highlight w:val="none"/>
              </w:rPr>
            </w:pPr>
          </w:p>
        </w:tc>
      </w:tr>
      <w:tr w14:paraId="45452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659" w:hRule="atLeast"/>
          <w:jc w:val="center"/>
        </w:trPr>
        <w:tc>
          <w:tcPr>
            <w:tcW w:w="3580" w:type="dxa"/>
            <w:noWrap w:val="0"/>
            <w:vAlign w:val="top"/>
          </w:tcPr>
          <w:p w14:paraId="2029512D">
            <w:pPr>
              <w:jc w:val="distribute"/>
              <w:rPr>
                <w:rFonts w:hint="default" w:ascii="Times New Roman" w:hAnsi="Times New Roman" w:eastAsia="黑体" w:cs="Times New Roman"/>
                <w:sz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</w:rPr>
              <w:t>数据中心地址</w:t>
            </w:r>
          </w:p>
        </w:tc>
        <w:tc>
          <w:tcPr>
            <w:tcW w:w="405" w:type="dxa"/>
            <w:noWrap w:val="0"/>
            <w:vAlign w:val="top"/>
          </w:tcPr>
          <w:p w14:paraId="60D49C7D">
            <w:pPr>
              <w:spacing w:line="360" w:lineRule="auto"/>
              <w:jc w:val="distribute"/>
              <w:rPr>
                <w:rFonts w:hint="default" w:ascii="Times New Roman" w:hAnsi="Times New Roman" w:eastAsia="黑体" w:cs="Times New Roman"/>
                <w:sz w:val="3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22"/>
                <w:highlight w:val="none"/>
              </w:rPr>
              <w:t>：</w:t>
            </w:r>
          </w:p>
        </w:tc>
        <w:tc>
          <w:tcPr>
            <w:tcW w:w="4240" w:type="dxa"/>
            <w:noWrap w:val="0"/>
            <w:vAlign w:val="top"/>
          </w:tcPr>
          <w:p w14:paraId="3522817D">
            <w:pPr>
              <w:spacing w:line="360" w:lineRule="auto"/>
              <w:rPr>
                <w:rFonts w:hint="default" w:ascii="Times New Roman" w:hAnsi="Times New Roman" w:eastAsia="楷体_GB2312" w:cs="Times New Roman"/>
                <w:sz w:val="32"/>
                <w:highlight w:val="none"/>
              </w:rPr>
            </w:pPr>
          </w:p>
        </w:tc>
      </w:tr>
      <w:tr w14:paraId="6772D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3580" w:type="dxa"/>
            <w:noWrap w:val="0"/>
            <w:vAlign w:val="top"/>
          </w:tcPr>
          <w:p w14:paraId="2499EDD2">
            <w:pPr>
              <w:jc w:val="distribute"/>
              <w:rPr>
                <w:rFonts w:hint="default" w:ascii="Times New Roman" w:hAnsi="Times New Roman" w:eastAsia="黑体" w:cs="Times New Roman"/>
                <w:sz w:val="3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</w:rPr>
              <w:t>联系人及手机</w:t>
            </w:r>
          </w:p>
        </w:tc>
        <w:tc>
          <w:tcPr>
            <w:tcW w:w="405" w:type="dxa"/>
            <w:noWrap w:val="0"/>
            <w:vAlign w:val="top"/>
          </w:tcPr>
          <w:p w14:paraId="2A479465">
            <w:pPr>
              <w:spacing w:line="360" w:lineRule="auto"/>
              <w:jc w:val="distribute"/>
              <w:rPr>
                <w:rFonts w:hint="default" w:ascii="Times New Roman" w:hAnsi="Times New Roman" w:eastAsia="黑体" w:cs="Times New Roman"/>
                <w:sz w:val="3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22"/>
                <w:highlight w:val="none"/>
              </w:rPr>
              <w:t>：</w:t>
            </w:r>
          </w:p>
        </w:tc>
        <w:tc>
          <w:tcPr>
            <w:tcW w:w="4240" w:type="dxa"/>
            <w:noWrap w:val="0"/>
            <w:vAlign w:val="top"/>
          </w:tcPr>
          <w:p w14:paraId="136A49F8">
            <w:pPr>
              <w:spacing w:line="360" w:lineRule="auto"/>
              <w:jc w:val="distribute"/>
              <w:rPr>
                <w:rFonts w:hint="default" w:ascii="Times New Roman" w:hAnsi="Times New Roman" w:eastAsia="楷体_GB2312" w:cs="Times New Roman"/>
                <w:sz w:val="32"/>
                <w:szCs w:val="22"/>
                <w:highlight w:val="none"/>
              </w:rPr>
            </w:pPr>
          </w:p>
        </w:tc>
      </w:tr>
      <w:tr w14:paraId="452E6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3580" w:type="dxa"/>
            <w:noWrap w:val="0"/>
            <w:vAlign w:val="top"/>
          </w:tcPr>
          <w:p w14:paraId="161EC4F7">
            <w:pPr>
              <w:jc w:val="distribute"/>
              <w:rPr>
                <w:rFonts w:hint="default" w:ascii="Times New Roman" w:hAnsi="Times New Roman" w:eastAsia="黑体" w:cs="Times New Roman"/>
                <w:sz w:val="3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</w:rPr>
              <w:t>电子邮箱</w:t>
            </w:r>
          </w:p>
        </w:tc>
        <w:tc>
          <w:tcPr>
            <w:tcW w:w="405" w:type="dxa"/>
            <w:noWrap w:val="0"/>
            <w:vAlign w:val="top"/>
          </w:tcPr>
          <w:p w14:paraId="6695E8F6">
            <w:pPr>
              <w:spacing w:line="360" w:lineRule="auto"/>
              <w:jc w:val="distribute"/>
              <w:rPr>
                <w:rFonts w:hint="default" w:ascii="Times New Roman" w:hAnsi="Times New Roman" w:eastAsia="黑体" w:cs="Times New Roman"/>
                <w:sz w:val="3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22"/>
                <w:highlight w:val="none"/>
              </w:rPr>
              <w:t>：</w:t>
            </w:r>
          </w:p>
        </w:tc>
        <w:tc>
          <w:tcPr>
            <w:tcW w:w="4240" w:type="dxa"/>
            <w:noWrap w:val="0"/>
            <w:vAlign w:val="top"/>
          </w:tcPr>
          <w:p w14:paraId="0EF85A07">
            <w:pPr>
              <w:spacing w:line="360" w:lineRule="auto"/>
              <w:jc w:val="distribute"/>
              <w:rPr>
                <w:rFonts w:hint="default" w:ascii="Times New Roman" w:hAnsi="Times New Roman" w:eastAsia="楷体_GB2312" w:cs="Times New Roman"/>
                <w:sz w:val="32"/>
                <w:szCs w:val="22"/>
                <w:highlight w:val="none"/>
              </w:rPr>
            </w:pPr>
          </w:p>
        </w:tc>
      </w:tr>
    </w:tbl>
    <w:p w14:paraId="0D71C717">
      <w:pPr>
        <w:spacing w:line="360" w:lineRule="auto"/>
        <w:rPr>
          <w:rFonts w:hint="default" w:ascii="Times New Roman" w:hAnsi="Times New Roman" w:cs="Times New Roman"/>
          <w:sz w:val="32"/>
          <w:highlight w:val="none"/>
        </w:rPr>
      </w:pPr>
    </w:p>
    <w:p w14:paraId="16AB38BA">
      <w:pPr>
        <w:spacing w:line="360" w:lineRule="auto"/>
        <w:rPr>
          <w:rFonts w:hint="default" w:ascii="Times New Roman" w:hAnsi="Times New Roman" w:cs="Times New Roman"/>
          <w:sz w:val="32"/>
          <w:highlight w:val="none"/>
        </w:rPr>
      </w:pPr>
    </w:p>
    <w:p w14:paraId="33C610AC">
      <w:pPr>
        <w:spacing w:line="360" w:lineRule="auto"/>
        <w:rPr>
          <w:rFonts w:hint="default" w:ascii="Times New Roman" w:hAnsi="Times New Roman" w:cs="Times New Roman"/>
          <w:sz w:val="32"/>
          <w:highlight w:val="none"/>
        </w:rPr>
      </w:pPr>
    </w:p>
    <w:p w14:paraId="7F02E2BD">
      <w:pPr>
        <w:spacing w:line="360" w:lineRule="auto"/>
        <w:jc w:val="center"/>
        <w:rPr>
          <w:rFonts w:hint="default" w:ascii="Times New Roman" w:hAnsi="Times New Roman" w:eastAsia="楷体_GB2312" w:cs="Times New Roman"/>
          <w:sz w:val="36"/>
          <w:highlight w:val="none"/>
        </w:rPr>
      </w:pPr>
    </w:p>
    <w:p w14:paraId="235A54F6">
      <w:pPr>
        <w:spacing w:line="360" w:lineRule="auto"/>
        <w:jc w:val="center"/>
        <w:rPr>
          <w:rFonts w:hint="default" w:ascii="Times New Roman" w:hAnsi="Times New Roman" w:eastAsia="黑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sz w:val="36"/>
          <w:szCs w:val="36"/>
          <w:highlight w:val="none"/>
          <w:lang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 xml:space="preserve">  年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 xml:space="preserve"> 月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 xml:space="preserve"> 日</w:t>
      </w:r>
    </w:p>
    <w:p w14:paraId="62B8A4A6">
      <w:pPr>
        <w:pStyle w:val="7"/>
        <w:spacing w:before="240" w:beforeLines="100" w:after="240" w:afterLines="100" w:line="360" w:lineRule="auto"/>
        <w:ind w:left="3154" w:right="3154"/>
        <w:jc w:val="center"/>
        <w:rPr>
          <w:rFonts w:hint="default" w:ascii="Times New Roman" w:hAnsi="Times New Roman" w:eastAsia="黑体" w:cs="Times New Roman"/>
          <w:sz w:val="36"/>
          <w:szCs w:val="36"/>
          <w:highlight w:val="none"/>
        </w:rPr>
        <w:sectPr>
          <w:footerReference r:id="rId4" w:type="default"/>
          <w:headerReference r:id="rId3" w:type="even"/>
          <w:footerReference r:id="rId5" w:type="even"/>
          <w:pgSz w:w="11910" w:h="16840"/>
          <w:pgMar w:top="1440" w:right="1800" w:bottom="1440" w:left="180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6C7AF02B">
      <w:pPr>
        <w:pStyle w:val="2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6"/>
          <w:szCs w:val="48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6"/>
          <w:szCs w:val="48"/>
          <w:highlight w:val="none"/>
          <w:lang w:eastAsia="zh-CN"/>
        </w:rPr>
        <w:t>一、申报材料要求</w:t>
      </w:r>
    </w:p>
    <w:p w14:paraId="5DDF9AFF"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550CD1F3"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申报单位须按格式要求编写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  <w:highlight w:val="none"/>
          <w:lang w:eastAsia="zh-CN"/>
        </w:rPr>
        <w:t>国家绿色数据中心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highlight w:val="none"/>
          <w:lang w:val="en-US" w:eastAsia="zh-CN"/>
        </w:rPr>
        <w:t>自评价报告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并附相关证明材料。所有申报材料不予退回。</w:t>
      </w:r>
    </w:p>
    <w:p w14:paraId="5F8E1894"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</w:rPr>
        <w:t>确保申报材料不涉及国家秘密、商业秘密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lang w:eastAsia="zh-CN"/>
        </w:rPr>
        <w:t>。</w:t>
      </w:r>
    </w:p>
    <w:p w14:paraId="61FDA3A7"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单位”应填写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，并与公章内容一致。</w:t>
      </w:r>
    </w:p>
    <w:p w14:paraId="435C2208"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Cs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如所申报数据中心为某数据中心园区内的一部分，申报数据中心名称中应包含对该部分的明确界定，如：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XX数据中心园区1号数据中心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3B3662A7"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Cs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5.所选用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证明材料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有充分证明效力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如证明材料篇幅较多，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仅需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包括关键信息的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必要部分。</w:t>
      </w:r>
    </w:p>
    <w:p w14:paraId="285BC7D7"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申报材料纸质版采用A4纸打印，并逐页标注页码，于左侧胶装成册并加盖公章和骑缝章。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同一数据中心申报材料不得分册装订，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数据中心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申报材料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应分别装订。电子版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highlight w:val="none"/>
          <w:lang w:val="en-US" w:eastAsia="zh-CN"/>
        </w:rPr>
        <w:t>自评价报告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原始文档文件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加盖公章和骑缝章后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纸质版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highlight w:val="none"/>
          <w:lang w:val="en-US" w:eastAsia="zh-CN"/>
        </w:rPr>
        <w:t>自评价报告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含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证明材料）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逐页扫描内容的单一PDF格式文件。</w:t>
      </w:r>
    </w:p>
    <w:p w14:paraId="314374CC"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default" w:ascii="Times New Roman" w:hAnsi="Times New Roman" w:eastAsia="楷体_GB2312" w:cs="Times New Roman"/>
          <w:b/>
          <w:sz w:val="36"/>
          <w:highlight w:val="none"/>
        </w:rPr>
        <w:sectPr>
          <w:headerReference r:id="rId6" w:type="default"/>
          <w:footerReference r:id="rId8" w:type="default"/>
          <w:headerReference r:id="rId7" w:type="even"/>
          <w:footerReference r:id="rId9" w:type="even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 w14:paraId="1CFD7DB7">
      <w:pPr>
        <w:pStyle w:val="2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6"/>
          <w:szCs w:val="36"/>
          <w:highlight w:val="none"/>
          <w:lang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6"/>
          <w:szCs w:val="36"/>
          <w:highlight w:val="none"/>
        </w:rPr>
        <w:t>申报单位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6"/>
          <w:szCs w:val="36"/>
          <w:highlight w:val="none"/>
          <w:lang w:eastAsia="zh-CN"/>
        </w:rPr>
        <w:t>承诺书</w:t>
      </w:r>
    </w:p>
    <w:p w14:paraId="14A9FD23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8" w:firstLineChars="212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22"/>
        </w:rPr>
      </w:pPr>
    </w:p>
    <w:p w14:paraId="45A45690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8" w:firstLineChars="212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我单位近三年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val="en-US" w:eastAsia="zh-CN"/>
        </w:rPr>
        <w:t>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均正常经营生产，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未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</w:rPr>
        <w:t>发生安全（含网络安全、数据安全、生产安全等）、质量、环境污染等事故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lang w:eastAsia="zh-CN"/>
        </w:rPr>
        <w:t>，无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</w:rPr>
        <w:t>偷漏税等违法违规行为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lang w:eastAsia="zh-CN"/>
        </w:rPr>
        <w:t>，未出现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</w:rPr>
        <w:t>被国务院及有关部门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</w:rPr>
        <w:t>相关督查工作中发现存在严重问题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</w:rPr>
        <w:t>被列入工业节能监察整改名单且未按要求完成整改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lang w:eastAsia="zh-CN"/>
        </w:rPr>
        <w:t>、被列入电信业务经营不良名单和失信名单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highlight w:val="none"/>
          <w:lang w:eastAsia="zh-CN"/>
        </w:rPr>
        <w:t>被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  <w:highlight w:val="none"/>
        </w:rPr>
        <w:t>相关主管部门行政处罚</w:t>
      </w:r>
      <w:r>
        <w:rPr>
          <w:rFonts w:hint="eastAsia" w:ascii="Times New Roman" w:hAnsi="Times New Roman" w:eastAsia="仿宋_GB2312" w:cs="Times New Roman"/>
          <w:color w:val="070707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</w:rPr>
        <w:t>失信被执行人等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lang w:eastAsia="zh-CN"/>
        </w:rPr>
        <w:t>情况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</w:rPr>
        <w:t>。</w:t>
      </w:r>
    </w:p>
    <w:p w14:paraId="208115D9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8" w:firstLineChars="212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70707"/>
          <w:sz w:val="32"/>
          <w:szCs w:val="32"/>
        </w:rPr>
        <w:t>我单位郑重承诺</w:t>
      </w:r>
      <w:r>
        <w:rPr>
          <w:rFonts w:hint="eastAsia" w:ascii="仿宋_GB2312" w:hAnsi="仿宋_GB2312" w:eastAsia="仿宋_GB2312" w:cs="仿宋_GB2312"/>
          <w:color w:val="070707"/>
          <w:sz w:val="32"/>
          <w:szCs w:val="32"/>
        </w:rPr>
        <w:t>: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</w:rPr>
        <w:t>本次申报所提交的相关数据和信息均真实、准确、有效，愿接受并积极配合主管部门的监督抽查和核验。</w:t>
      </w:r>
    </w:p>
    <w:p w14:paraId="5EA2F4B4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8" w:firstLineChars="212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70707"/>
          <w:sz w:val="32"/>
          <w:szCs w:val="32"/>
        </w:rPr>
      </w:pPr>
    </w:p>
    <w:p w14:paraId="292D4326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8" w:firstLineChars="212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70707"/>
          <w:sz w:val="32"/>
          <w:szCs w:val="32"/>
        </w:rPr>
      </w:pPr>
    </w:p>
    <w:p w14:paraId="7FE78AA1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8" w:firstLineChars="212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70707"/>
          <w:sz w:val="32"/>
          <w:szCs w:val="32"/>
        </w:rPr>
      </w:pPr>
    </w:p>
    <w:p w14:paraId="2C0E9BA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937" w:firstLineChars="918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70707"/>
          <w:sz w:val="32"/>
          <w:szCs w:val="32"/>
        </w:rPr>
        <w:t>负责人签字：</w:t>
      </w:r>
      <w:r>
        <w:rPr>
          <w:rFonts w:hint="eastAsia" w:ascii="Times New Roman" w:hAnsi="Times New Roman" w:eastAsia="仿宋_GB2312" w:cs="Times New Roman"/>
          <w:color w:val="070707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</w:rPr>
        <w:t xml:space="preserve">                      </w:t>
      </w:r>
    </w:p>
    <w:p w14:paraId="49C14DDF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8" w:firstLineChars="212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4AEBFF8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8" w:firstLineChars="212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70707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  <w:lang w:eastAsia="zh-CN"/>
        </w:rPr>
        <w:t>申报单位名称（盖章）：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  <w:lang w:val="en-US" w:eastAsia="zh-CN"/>
        </w:rPr>
        <w:t xml:space="preserve">             </w:t>
      </w:r>
    </w:p>
    <w:p w14:paraId="37F489D2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8" w:firstLineChars="212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70707"/>
          <w:sz w:val="32"/>
          <w:szCs w:val="32"/>
        </w:rPr>
      </w:pPr>
    </w:p>
    <w:p w14:paraId="1DC13B33">
      <w:pPr>
        <w:adjustRightInd w:val="0"/>
        <w:ind w:firstLine="678" w:firstLineChars="212"/>
        <w:outlineLvl w:val="9"/>
        <w:rPr>
          <w:rFonts w:hint="default" w:ascii="Times New Roman" w:hAnsi="Times New Roman" w:eastAsia="仿宋_GB2312" w:cs="Times New Roman"/>
          <w:b w:val="0"/>
          <w:color w:val="070707"/>
          <w:sz w:val="32"/>
          <w:szCs w:val="32"/>
        </w:rPr>
        <w:sectPr>
          <w:headerReference r:id="rId10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 w:val="0"/>
          <w:bCs w:val="0"/>
          <w:color w:val="070707"/>
          <w:sz w:val="32"/>
          <w:szCs w:val="32"/>
        </w:rPr>
        <w:t xml:space="preserve">                             年     月     日</w:t>
      </w:r>
    </w:p>
    <w:p w14:paraId="59807F18"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cs="Times New Roman"/>
          <w:sz w:val="36"/>
          <w:szCs w:val="36"/>
          <w:lang w:eastAsia="zh-CN"/>
        </w:rPr>
      </w:pPr>
      <w:r>
        <w:rPr>
          <w:rFonts w:hint="default" w:ascii="Times New Roman" w:hAnsi="Times New Roman" w:cs="Times New Roman"/>
          <w:sz w:val="36"/>
          <w:szCs w:val="36"/>
          <w:lang w:val="en-US" w:eastAsia="zh-CN"/>
        </w:rPr>
        <w:t>三、</w:t>
      </w:r>
      <w:r>
        <w:rPr>
          <w:rFonts w:hint="default" w:ascii="Times New Roman" w:hAnsi="Times New Roman" w:cs="Times New Roman"/>
          <w:sz w:val="36"/>
          <w:szCs w:val="36"/>
        </w:rPr>
        <w:t>申报单位</w:t>
      </w:r>
      <w:r>
        <w:rPr>
          <w:rFonts w:hint="default" w:ascii="Times New Roman" w:hAnsi="Times New Roman" w:cs="Times New Roman"/>
          <w:sz w:val="36"/>
          <w:szCs w:val="36"/>
          <w:lang w:eastAsia="zh-CN"/>
        </w:rPr>
        <w:t>基本信息表</w:t>
      </w:r>
    </w:p>
    <w:p w14:paraId="2F5D019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23" w:type="dxa"/>
          <w:bottom w:w="85" w:type="dxa"/>
          <w:right w:w="23" w:type="dxa"/>
        </w:tblCellMar>
      </w:tblPr>
      <w:tblGrid>
        <w:gridCol w:w="2807"/>
        <w:gridCol w:w="1271"/>
        <w:gridCol w:w="691"/>
        <w:gridCol w:w="1386"/>
        <w:gridCol w:w="749"/>
        <w:gridCol w:w="2095"/>
      </w:tblGrid>
      <w:tr w14:paraId="359E9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152" w:hRule="atLeast"/>
          <w:jc w:val="center"/>
        </w:trPr>
        <w:tc>
          <w:tcPr>
            <w:tcW w:w="28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05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申报单位名称</w:t>
            </w:r>
          </w:p>
        </w:tc>
        <w:tc>
          <w:tcPr>
            <w:tcW w:w="6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D63DA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3E62D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152" w:hRule="atLeast"/>
          <w:jc w:val="center"/>
        </w:trPr>
        <w:tc>
          <w:tcPr>
            <w:tcW w:w="28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D83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统一社会信用代码</w:t>
            </w:r>
          </w:p>
        </w:tc>
        <w:tc>
          <w:tcPr>
            <w:tcW w:w="6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455BF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7C69B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152" w:hRule="atLeast"/>
          <w:jc w:val="center"/>
        </w:trPr>
        <w:tc>
          <w:tcPr>
            <w:tcW w:w="28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F2B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注册地址</w:t>
            </w:r>
          </w:p>
        </w:tc>
        <w:tc>
          <w:tcPr>
            <w:tcW w:w="6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AB5EB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611B0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152" w:hRule="atLeast"/>
          <w:jc w:val="center"/>
        </w:trPr>
        <w:tc>
          <w:tcPr>
            <w:tcW w:w="28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B23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6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8FAC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3D9AD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152" w:hRule="atLeast"/>
          <w:jc w:val="center"/>
        </w:trPr>
        <w:tc>
          <w:tcPr>
            <w:tcW w:w="28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2F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17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37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A4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E0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2D52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7888A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152" w:hRule="atLeast"/>
          <w:jc w:val="center"/>
        </w:trPr>
        <w:tc>
          <w:tcPr>
            <w:tcW w:w="28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57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0E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04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75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D6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1D477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488AC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152" w:hRule="atLeast"/>
          <w:jc w:val="center"/>
        </w:trPr>
        <w:tc>
          <w:tcPr>
            <w:tcW w:w="28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AB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电子邮件</w:t>
            </w:r>
          </w:p>
        </w:tc>
        <w:tc>
          <w:tcPr>
            <w:tcW w:w="3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EF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68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7DEC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FDEC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152" w:hRule="atLeast"/>
          <w:jc w:val="center"/>
        </w:trPr>
        <w:tc>
          <w:tcPr>
            <w:tcW w:w="28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8F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6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FD59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□政府部门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国有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独资或控股企业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 xml:space="preserve"> □民营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企业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 xml:space="preserve"> □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外资或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合资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企业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高等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院校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 xml:space="preserve"> □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科研院所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□金融机构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其他</w:t>
            </w:r>
          </w:p>
        </w:tc>
      </w:tr>
      <w:tr w14:paraId="27CD9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90" w:hRule="atLeast"/>
          <w:jc w:val="center"/>
        </w:trPr>
        <w:tc>
          <w:tcPr>
            <w:tcW w:w="28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C7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主营业务</w:t>
            </w:r>
          </w:p>
        </w:tc>
        <w:tc>
          <w:tcPr>
            <w:tcW w:w="6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1748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3CA36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90" w:hRule="atLeast"/>
          <w:jc w:val="center"/>
        </w:trPr>
        <w:tc>
          <w:tcPr>
            <w:tcW w:w="28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2E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近三年主营业务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收入</w:t>
            </w:r>
          </w:p>
          <w:p w14:paraId="00D31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（万元）</w:t>
            </w:r>
          </w:p>
        </w:tc>
        <w:tc>
          <w:tcPr>
            <w:tcW w:w="6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4038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76400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90" w:hRule="atLeast"/>
          <w:jc w:val="center"/>
        </w:trPr>
        <w:tc>
          <w:tcPr>
            <w:tcW w:w="28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5A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近三年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净利润</w:t>
            </w:r>
          </w:p>
          <w:p w14:paraId="5EA89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（万元）</w:t>
            </w:r>
          </w:p>
        </w:tc>
        <w:tc>
          <w:tcPr>
            <w:tcW w:w="6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D2DC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143B7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90" w:hRule="atLeast"/>
          <w:jc w:val="center"/>
        </w:trPr>
        <w:tc>
          <w:tcPr>
            <w:tcW w:w="28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07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已获颁增值电信业务经营许可情况</w:t>
            </w:r>
          </w:p>
        </w:tc>
        <w:tc>
          <w:tcPr>
            <w:tcW w:w="6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C26C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（许可证类别、颁发机关、许可证号、有效期等情况）</w:t>
            </w:r>
          </w:p>
        </w:tc>
      </w:tr>
      <w:tr w14:paraId="6F610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1447" w:hRule="atLeast"/>
          <w:jc w:val="center"/>
        </w:trPr>
        <w:tc>
          <w:tcPr>
            <w:tcW w:w="2807" w:type="dxa"/>
            <w:noWrap w:val="0"/>
            <w:vAlign w:val="center"/>
          </w:tcPr>
          <w:p w14:paraId="46F41E6D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申报单位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  <w:t>简介</w:t>
            </w:r>
          </w:p>
        </w:tc>
        <w:tc>
          <w:tcPr>
            <w:tcW w:w="6192" w:type="dxa"/>
            <w:gridSpan w:val="5"/>
            <w:noWrap w:val="0"/>
            <w:vAlign w:val="center"/>
          </w:tcPr>
          <w:p w14:paraId="4E863349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基本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情况、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经营情况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技术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研发及服务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能力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在数据中心领域开展业务情况，人员规模，业务模式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，不超过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300字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411DA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1447" w:hRule="atLeast"/>
          <w:jc w:val="center"/>
        </w:trPr>
        <w:tc>
          <w:tcPr>
            <w:tcW w:w="2807" w:type="dxa"/>
            <w:noWrap w:val="0"/>
            <w:vAlign w:val="center"/>
          </w:tcPr>
          <w:p w14:paraId="61B8ECD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数据中心产权情况</w:t>
            </w:r>
          </w:p>
        </w:tc>
        <w:tc>
          <w:tcPr>
            <w:tcW w:w="6192" w:type="dxa"/>
            <w:gridSpan w:val="5"/>
            <w:noWrap w:val="0"/>
            <w:vAlign w:val="center"/>
          </w:tcPr>
          <w:p w14:paraId="1E166C33"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所申报数据中心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资产权属构成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申报单位与申报数据中心产权权属关系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）</w:t>
            </w:r>
          </w:p>
        </w:tc>
      </w:tr>
    </w:tbl>
    <w:p w14:paraId="78DA069A">
      <w:pPr>
        <w:rPr>
          <w:rFonts w:hint="default" w:ascii="Times New Roman" w:hAnsi="Times New Roman" w:cs="Times New Roman"/>
          <w:lang w:val="en-US" w:eastAsia="zh-CN"/>
        </w:rPr>
      </w:pPr>
    </w:p>
    <w:p w14:paraId="0B974B5F">
      <w:pPr>
        <w:rPr>
          <w:rFonts w:hint="default" w:ascii="Times New Roman" w:hAnsi="Times New Roman" w:cs="Times New Roman"/>
          <w:lang w:val="en-US" w:eastAsia="zh-CN"/>
        </w:rPr>
        <w:sectPr>
          <w:headerReference r:id="rId11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1AC8422E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cs="Times New Roman"/>
          <w:sz w:val="36"/>
          <w:szCs w:val="36"/>
          <w:lang w:eastAsia="zh-CN"/>
        </w:rPr>
      </w:pPr>
      <w:r>
        <w:rPr>
          <w:rFonts w:hint="default" w:ascii="Times New Roman" w:hAnsi="Times New Roman" w:cs="Times New Roman"/>
          <w:sz w:val="36"/>
          <w:szCs w:val="36"/>
          <w:lang w:val="en-US" w:eastAsia="zh-CN"/>
        </w:rPr>
        <w:t>四、</w:t>
      </w:r>
      <w:r>
        <w:rPr>
          <w:rFonts w:hint="default" w:ascii="Times New Roman" w:hAnsi="Times New Roman" w:cs="Times New Roman"/>
          <w:sz w:val="36"/>
          <w:szCs w:val="36"/>
          <w:lang w:eastAsia="zh-CN"/>
        </w:rPr>
        <w:t>申报数据中心基本信息表</w:t>
      </w:r>
    </w:p>
    <w:p w14:paraId="2EAF0AD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54"/>
        <w:gridCol w:w="559"/>
        <w:gridCol w:w="359"/>
        <w:gridCol w:w="1524"/>
        <w:gridCol w:w="2304"/>
        <w:gridCol w:w="1958"/>
        <w:gridCol w:w="1638"/>
        <w:gridCol w:w="55"/>
      </w:tblGrid>
      <w:tr w14:paraId="62CF5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262" w:hRule="atLeast"/>
          <w:jc w:val="center"/>
        </w:trPr>
        <w:tc>
          <w:tcPr>
            <w:tcW w:w="8397" w:type="dxa"/>
            <w:gridSpan w:val="7"/>
            <w:noWrap w:val="0"/>
            <w:vAlign w:val="center"/>
          </w:tcPr>
          <w:p w14:paraId="7A009EE2">
            <w:pPr>
              <w:widowControl/>
              <w:spacing w:line="360" w:lineRule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  <w:lang w:eastAsia="zh-CN"/>
              </w:rPr>
              <w:t>一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  <w:t>）数据中心基本信息</w:t>
            </w:r>
          </w:p>
        </w:tc>
      </w:tr>
      <w:tr w14:paraId="5F002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153D5C1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数据中心名称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07EFE055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63BB1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21CE1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所在省份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59FD749F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231BB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29E75B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所在市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6FB4FA88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3C2F5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4D1D6C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所在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县（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5B73FF3A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42EC0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5BCF09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具体地址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193C3D06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21E23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078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253948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位置属性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6220B2DC">
            <w:pPr>
              <w:widowControl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□京津冀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枢纽节点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□长三角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枢纽节点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□粤港澳大湾区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枢纽节点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□成渝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枢纽节点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□贵州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枢纽节点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□内蒙古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枢纽节点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□甘肃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枢纽节点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□宁夏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枢纽节点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</w:rPr>
              <w:t>青海算电协同试点区域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</w:rPr>
              <w:t>新疆算电协同试点区域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</w:rPr>
              <w:t>黑龙江算电协同试点区域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其他</w:t>
            </w:r>
          </w:p>
        </w:tc>
      </w:tr>
      <w:tr w14:paraId="61BBA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3ED3C5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完成审批、备案时间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729991E5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 w14:paraId="5D29A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76F6C9E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工建设时间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47114A6C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3CEED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77B3C57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投入使用时间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2EA6F747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75BC1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A77855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数据中心业务模式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3F2F091C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□机柜租赁 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算力服务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□自用 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>（请注明）</w:t>
            </w:r>
          </w:p>
        </w:tc>
      </w:tr>
      <w:tr w14:paraId="34DE6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22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0CCF56A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所属领域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19350D29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工业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□信息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通信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能源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互联网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金融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公共机构</w:t>
            </w:r>
          </w:p>
        </w:tc>
      </w:tr>
      <w:tr w14:paraId="279CB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457225F2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所属类型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69099819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智能计算中心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□通用数据中心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□超算中心</w:t>
            </w:r>
          </w:p>
        </w:tc>
      </w:tr>
      <w:tr w14:paraId="3D2E1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06B0D1C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建筑形式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1F496897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□多栋建筑 □独立建筑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建筑的一部分</w:t>
            </w:r>
            <w:bookmarkStart w:id="0" w:name="OLE_LINK26"/>
            <w:bookmarkStart w:id="1" w:name="OLE_LINK25"/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</w:t>
            </w:r>
            <w:bookmarkEnd w:id="0"/>
            <w:bookmarkEnd w:id="1"/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  <w:lang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u w:val="single"/>
              </w:rPr>
              <w:t>（请注明）</w:t>
            </w:r>
          </w:p>
        </w:tc>
      </w:tr>
      <w:tr w14:paraId="13E86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565889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设计单位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0DE3D12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</w:tr>
      <w:tr w14:paraId="4E794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492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51F041F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数据中心总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建筑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面积</w:t>
            </w:r>
          </w:p>
          <w:p w14:paraId="76729E7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（平方米）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7E3A5B9D">
            <w:pPr>
              <w:pStyle w:val="78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（包含机房和所有配套设施）</w:t>
            </w:r>
          </w:p>
        </w:tc>
      </w:tr>
      <w:tr w14:paraId="3BCCF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286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D23E83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机房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面积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（平方米）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6DEF59C0">
            <w:pPr>
              <w:pStyle w:val="78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（安装机柜部分建筑面积）</w:t>
            </w:r>
          </w:p>
        </w:tc>
      </w:tr>
      <w:tr w14:paraId="65728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4138B0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设计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安装机柜总数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258D10E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物理机柜数量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）</w:t>
            </w:r>
          </w:p>
        </w:tc>
      </w:tr>
      <w:tr w14:paraId="259FA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2B87B08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实际安装机柜数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06F59B6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（物理机柜数量）</w:t>
            </w:r>
          </w:p>
        </w:tc>
      </w:tr>
      <w:tr w14:paraId="16991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0660C9D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有效应用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机柜总数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（个）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39A7E63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（物理机柜数量）</w:t>
            </w:r>
          </w:p>
        </w:tc>
      </w:tr>
      <w:tr w14:paraId="311A4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28673A2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全部已安装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机柜折合标准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机架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总数（个）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0D92ECC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换算成标准机架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数）</w:t>
            </w:r>
          </w:p>
        </w:tc>
      </w:tr>
      <w:tr w14:paraId="2E35C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01446E8A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</w:rPr>
              <w:t>智能计算集群规模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（卡）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33C250B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5741A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5C524A9B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</w:rPr>
              <w:t>智能算力规模</w:t>
            </w:r>
          </w:p>
          <w:p w14:paraId="59973847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</w:rPr>
              <w:t>PFLOPS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</w:rPr>
              <w:t>FP16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3AE5626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56454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25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32A3BDF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全年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总耗电量</w:t>
            </w:r>
          </w:p>
          <w:p w14:paraId="2950DAE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（千瓦时）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2ECEC8D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</w:p>
        </w:tc>
      </w:tr>
      <w:tr w14:paraId="49FFE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298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39FE9C9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全年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信息设备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耗电量</w:t>
            </w:r>
          </w:p>
          <w:p w14:paraId="37CE8AC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（千瓦时）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7ECCBF9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</w:p>
        </w:tc>
      </w:tr>
      <w:tr w14:paraId="0BBB2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269E734A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设计电能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利用效率（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PUE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176D86D7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3F729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346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5561EB0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实际电能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利用效率（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PUE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03A704C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6"/>
              </w:rPr>
            </w:pPr>
          </w:p>
        </w:tc>
      </w:tr>
      <w:tr w14:paraId="41EFF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7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8DA9F9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服务器总台数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7F3D0F35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07FCD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346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282D582C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2级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及节能水平服务器台数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23D68E8F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37BBF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346" w:hRule="atLeast"/>
          <w:jc w:val="center"/>
        </w:trPr>
        <w:tc>
          <w:tcPr>
            <w:tcW w:w="2442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1F3C9DDD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1级或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先进水平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服务器台数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640DDB0F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6290D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346" w:hRule="atLeast"/>
          <w:jc w:val="center"/>
        </w:trPr>
        <w:tc>
          <w:tcPr>
            <w:tcW w:w="2442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0AA63F2D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服务器能效水平评价依据标准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63AE47FC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5C711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362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777710B6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全年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可再生能源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应用量（千瓦时）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67BCB27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6"/>
              </w:rPr>
            </w:pPr>
          </w:p>
        </w:tc>
      </w:tr>
      <w:tr w14:paraId="1D465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1B508A9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</w:rPr>
              <w:t>可再生能源利用率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  <w:t>（%）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11F8B97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21875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09847B3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  <w:t>所在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省（自治区、直辖市）可再生能源电力消纳责任权重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3587AFC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67363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0EDA2DEE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消纳责任权重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类型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1DEE7AA0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总量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非水电</w:t>
            </w:r>
          </w:p>
        </w:tc>
      </w:tr>
      <w:tr w14:paraId="4DB7A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08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3C1CCBB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蓄冷系统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形式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352431A4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3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水蓄冷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相变蓄冷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无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（请注明）</w:t>
            </w:r>
          </w:p>
        </w:tc>
      </w:tr>
      <w:tr w14:paraId="72E7F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5508E8B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蓄冷系统容量</w:t>
            </w:r>
          </w:p>
          <w:p w14:paraId="1FC1DFF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（千瓦时）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5AC6EB4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6B6DD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362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5F105D2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后备电源形式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063DC652">
            <w:pPr>
              <w:widowControl/>
              <w:jc w:val="left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先进储能技术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氢燃料电池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常规储能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</w:p>
          <w:p w14:paraId="03B508DE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3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（请注明）</w:t>
            </w:r>
          </w:p>
        </w:tc>
      </w:tr>
      <w:tr w14:paraId="488C7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362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77B9BB29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数字化能碳管理中心建设及运行情况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77C6821C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已建成且运行良好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已建成但未运行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未建</w:t>
            </w:r>
          </w:p>
        </w:tc>
      </w:tr>
      <w:tr w14:paraId="506FC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362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0318AD54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电力需求侧响应能力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70BE38BB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5%及以上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无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（请注明）</w:t>
            </w:r>
          </w:p>
        </w:tc>
      </w:tr>
      <w:tr w14:paraId="38547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362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07B095D9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年度单位信息流量综合能耗下降幅度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（%）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4F241F7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6"/>
              </w:rPr>
            </w:pPr>
          </w:p>
        </w:tc>
      </w:tr>
      <w:tr w14:paraId="68C40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362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049C368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余热余能回收利用</w:t>
            </w:r>
          </w:p>
          <w:p w14:paraId="22FD8A44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系统形式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0C1E5A84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热泵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无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□其他（请注明）</w:t>
            </w:r>
          </w:p>
        </w:tc>
      </w:tr>
      <w:tr w14:paraId="406AE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439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2F4DE31D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全年余热余冷利用量（千瓦时）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04E8AF6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</w:p>
        </w:tc>
      </w:tr>
      <w:tr w14:paraId="0C616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7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5D3BFB73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全年水资源消耗量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（升）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29EDF51E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lang w:val="en-US" w:eastAsia="zh-CN" w:bidi="ar-SA"/>
              </w:rPr>
            </w:pPr>
          </w:p>
        </w:tc>
      </w:tr>
      <w:tr w14:paraId="0F64F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35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50E76229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单位信息设备能耗用水量（水资源使用效率）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升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千瓦时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7CEF6FB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 w14:paraId="20574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1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1B4A9D4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水处理设施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bottom"/>
          </w:tcPr>
          <w:p w14:paraId="425F8DB8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雨水收集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 xml:space="preserve">利用设施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污水净化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回收利用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设施</w:t>
            </w:r>
          </w:p>
          <w:p w14:paraId="7C616641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无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（请注明）</w:t>
            </w:r>
          </w:p>
        </w:tc>
      </w:tr>
      <w:tr w14:paraId="79A36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1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52018556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全年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水资源回收量（升）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0D3D76E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</w:p>
        </w:tc>
      </w:tr>
      <w:tr w14:paraId="09931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502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256E8C6C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节能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降碳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技术</w:t>
            </w:r>
          </w:p>
          <w:p w14:paraId="03FFAE10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应用数量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15610AA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</w:p>
        </w:tc>
      </w:tr>
      <w:tr w14:paraId="5BA87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322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3CAFB37B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应用节能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降碳</w:t>
            </w:r>
          </w:p>
          <w:p w14:paraId="780BFDA2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技术名称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1D27EEA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</w:p>
        </w:tc>
      </w:tr>
      <w:tr w14:paraId="46AA0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03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09499FF4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电动机能效等级情况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17" w:type="dxa"/>
            </w:tcMar>
            <w:vAlign w:val="center"/>
          </w:tcPr>
          <w:p w14:paraId="00F3AC60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全部节能水平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部分先进水平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全部先进水平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其他</w:t>
            </w:r>
          </w:p>
        </w:tc>
      </w:tr>
      <w:tr w14:paraId="4AA55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03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93B8329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变压器能效等级情况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17" w:type="dxa"/>
            </w:tcMar>
            <w:vAlign w:val="center"/>
          </w:tcPr>
          <w:p w14:paraId="6AD61F65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全部节能水平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部分先进水平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全部先进水平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其他</w:t>
            </w:r>
          </w:p>
        </w:tc>
      </w:tr>
      <w:tr w14:paraId="21B61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03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E783561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水泵能效等级情况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17" w:type="dxa"/>
            </w:tcMar>
            <w:vAlign w:val="center"/>
          </w:tcPr>
          <w:p w14:paraId="4E69A033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全部节能水平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部分先进水平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全部先进水平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其他</w:t>
            </w:r>
          </w:p>
        </w:tc>
      </w:tr>
      <w:tr w14:paraId="4677A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03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4912BFB5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通风机能效等级情况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17" w:type="dxa"/>
            </w:tcMar>
            <w:vAlign w:val="center"/>
          </w:tcPr>
          <w:p w14:paraId="7356531B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全部节能水平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部分先进水平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全部先进水平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其他</w:t>
            </w:r>
          </w:p>
        </w:tc>
      </w:tr>
      <w:tr w14:paraId="35777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5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06C0F89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压缩机能效等级情况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17" w:type="dxa"/>
            </w:tcMar>
            <w:vAlign w:val="center"/>
          </w:tcPr>
          <w:p w14:paraId="03025509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全部节能水平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部分先进水平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全部先进水平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其他</w:t>
            </w:r>
          </w:p>
        </w:tc>
      </w:tr>
      <w:tr w14:paraId="3CD8A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383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778C0A4E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机柜资源利用率（上架率）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（%）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043112B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</w:p>
        </w:tc>
      </w:tr>
      <w:tr w14:paraId="73B2C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206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2223CAEC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信息设备负荷使用率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（%）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25A21D9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</w:p>
        </w:tc>
      </w:tr>
      <w:tr w14:paraId="050FA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4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24C90298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  <w:t>安装网络总带宽（Mb）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2F280B5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</w:p>
        </w:tc>
      </w:tr>
      <w:tr w14:paraId="6559B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4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3669C6FF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全年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从外部接收数据</w:t>
            </w:r>
          </w:p>
          <w:p w14:paraId="7A4008D0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总和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Mb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61FDDA8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</w:p>
        </w:tc>
      </w:tr>
      <w:tr w14:paraId="7D88B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4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53F2DFA8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全年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外部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发送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数据</w:t>
            </w:r>
          </w:p>
          <w:p w14:paraId="47EB3397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总和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Mb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2616442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</w:p>
        </w:tc>
      </w:tr>
      <w:tr w14:paraId="07298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4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0A18943C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网络资源年平均利用率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（%）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10FB400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</w:p>
        </w:tc>
      </w:tr>
      <w:tr w14:paraId="6D9D1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4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076AA833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算力单位电能消耗产出效益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（元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千瓦时）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4AA33C2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</w:p>
        </w:tc>
      </w:tr>
      <w:tr w14:paraId="18DDF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212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0447398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信息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设备散热方式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3B661D3E"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□风冷 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浸没或喷淋式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液冷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冷板式液冷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</w:p>
          <w:p w14:paraId="52782F3A"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（请注明）</w:t>
            </w:r>
          </w:p>
        </w:tc>
      </w:tr>
      <w:tr w14:paraId="5587D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4" w:hRule="atLeast"/>
          <w:jc w:val="center"/>
        </w:trPr>
        <w:tc>
          <w:tcPr>
            <w:tcW w:w="918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2527299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eastAsia="zh-CN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/>
              </w:rPr>
              <w:t>绿色数据中心评价》（GB/T 44989—2024）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/>
              </w:rPr>
              <w:t>等级</w:t>
            </w:r>
          </w:p>
        </w:tc>
        <w:tc>
          <w:tcPr>
            <w:tcW w:w="1524" w:type="dxa"/>
            <w:noWrap w:val="0"/>
            <w:tcMar>
              <w:left w:w="57" w:type="dxa"/>
              <w:right w:w="57" w:type="dxa"/>
            </w:tcMar>
            <w:vAlign w:val="center"/>
          </w:tcPr>
          <w:p w14:paraId="6B6ECCD8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/>
              </w:rPr>
              <w:t>“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能源资源高效利用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/>
              </w:rPr>
              <w:t>”</w:t>
            </w:r>
          </w:p>
          <w:p w14:paraId="12311749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/>
              </w:rPr>
              <w:t>指标得分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77AEDDE4">
            <w:pPr>
              <w:widowControl/>
              <w:jc w:val="both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</w:tr>
      <w:tr w14:paraId="2BDE5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4" w:hRule="atLeast"/>
          <w:jc w:val="center"/>
        </w:trPr>
        <w:tc>
          <w:tcPr>
            <w:tcW w:w="918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327BD5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eastAsia="zh-CN"/>
              </w:rPr>
            </w:pPr>
          </w:p>
        </w:tc>
        <w:tc>
          <w:tcPr>
            <w:tcW w:w="1524" w:type="dxa"/>
            <w:noWrap w:val="0"/>
            <w:tcMar>
              <w:left w:w="57" w:type="dxa"/>
              <w:right w:w="57" w:type="dxa"/>
            </w:tcMar>
            <w:vAlign w:val="center"/>
          </w:tcPr>
          <w:p w14:paraId="6BF2B618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“绿色设计”指标得分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445D6D27"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083A6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4" w:hRule="atLeast"/>
          <w:jc w:val="center"/>
        </w:trPr>
        <w:tc>
          <w:tcPr>
            <w:tcW w:w="918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8049474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eastAsia="zh-CN"/>
              </w:rPr>
            </w:pPr>
          </w:p>
        </w:tc>
        <w:tc>
          <w:tcPr>
            <w:tcW w:w="1524" w:type="dxa"/>
            <w:noWrap w:val="0"/>
            <w:tcMar>
              <w:left w:w="57" w:type="dxa"/>
              <w:right w:w="57" w:type="dxa"/>
            </w:tcMar>
            <w:vAlign w:val="center"/>
          </w:tcPr>
          <w:p w14:paraId="1BF5B477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eastAsia="zh-CN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</w:rPr>
              <w:t>绿色采购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eastAsia="zh-CN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指标得分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0FA58368"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7FD97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4" w:hRule="atLeast"/>
          <w:jc w:val="center"/>
        </w:trPr>
        <w:tc>
          <w:tcPr>
            <w:tcW w:w="918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8039399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524" w:type="dxa"/>
            <w:noWrap w:val="0"/>
            <w:tcMar>
              <w:left w:w="57" w:type="dxa"/>
              <w:right w:w="57" w:type="dxa"/>
            </w:tcMar>
            <w:vAlign w:val="center"/>
          </w:tcPr>
          <w:p w14:paraId="45FBBA59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highlight w:val="none"/>
              </w:rPr>
              <w:t>绿色运维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eastAsia="zh-CN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指标得分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48715FA2"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03DE5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4" w:hRule="atLeast"/>
          <w:jc w:val="center"/>
        </w:trPr>
        <w:tc>
          <w:tcPr>
            <w:tcW w:w="918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1911B4D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eastAsia="zh-CN"/>
              </w:rPr>
            </w:pPr>
          </w:p>
        </w:tc>
        <w:tc>
          <w:tcPr>
            <w:tcW w:w="1524" w:type="dxa"/>
            <w:noWrap w:val="0"/>
            <w:tcMar>
              <w:left w:w="57" w:type="dxa"/>
              <w:right w:w="57" w:type="dxa"/>
            </w:tcMar>
            <w:vAlign w:val="center"/>
          </w:tcPr>
          <w:p w14:paraId="3693A047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eastAsia="zh-CN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</w:rPr>
              <w:t>绿色服务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eastAsia="zh-CN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指标得分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2B2A592D">
            <w:pPr>
              <w:widowControl/>
              <w:jc w:val="both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068B8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4" w:hRule="atLeast"/>
          <w:jc w:val="center"/>
        </w:trPr>
        <w:tc>
          <w:tcPr>
            <w:tcW w:w="918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A02A65D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1524" w:type="dxa"/>
            <w:noWrap w:val="0"/>
            <w:tcMar>
              <w:left w:w="57" w:type="dxa"/>
              <w:right w:w="57" w:type="dxa"/>
            </w:tcMar>
            <w:vAlign w:val="center"/>
          </w:tcPr>
          <w:p w14:paraId="078A3DA1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/>
              </w:rPr>
              <w:t>评价总得分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3A93FAD3">
            <w:pPr>
              <w:widowControl/>
              <w:jc w:val="both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</w:tr>
      <w:tr w14:paraId="384CF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4" w:hRule="atLeast"/>
          <w:jc w:val="center"/>
        </w:trPr>
        <w:tc>
          <w:tcPr>
            <w:tcW w:w="918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B6F233B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524" w:type="dxa"/>
            <w:noWrap w:val="0"/>
            <w:tcMar>
              <w:left w:w="57" w:type="dxa"/>
              <w:right w:w="57" w:type="dxa"/>
            </w:tcMar>
            <w:vAlign w:val="center"/>
          </w:tcPr>
          <w:p w14:paraId="44DB6BC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/>
              </w:rPr>
              <w:t>等级水平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798C614E">
            <w:pPr>
              <w:widowControl/>
              <w:jc w:val="both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</w:tr>
      <w:tr w14:paraId="6E275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jc w:val="center"/>
        </w:trPr>
        <w:tc>
          <w:tcPr>
            <w:tcW w:w="8397" w:type="dxa"/>
            <w:gridSpan w:val="7"/>
            <w:noWrap w:val="0"/>
            <w:vAlign w:val="center"/>
          </w:tcPr>
          <w:p w14:paraId="41F3C8E1">
            <w:pP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数据中心平面简图</w:t>
            </w:r>
          </w:p>
        </w:tc>
      </w:tr>
      <w:tr w14:paraId="2DC1E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2031" w:hRule="atLeast"/>
          <w:jc w:val="center"/>
        </w:trPr>
        <w:tc>
          <w:tcPr>
            <w:tcW w:w="8397" w:type="dxa"/>
            <w:gridSpan w:val="7"/>
            <w:noWrap w:val="0"/>
            <w:vAlign w:val="center"/>
          </w:tcPr>
          <w:p w14:paraId="138D65A4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 w14:paraId="0FC92528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</w:t>
            </w:r>
          </w:p>
        </w:tc>
      </w:tr>
      <w:tr w14:paraId="04A61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jc w:val="center"/>
        </w:trPr>
        <w:tc>
          <w:tcPr>
            <w:tcW w:w="8397" w:type="dxa"/>
            <w:gridSpan w:val="7"/>
            <w:noWrap w:val="0"/>
            <w:vAlign w:val="center"/>
          </w:tcPr>
          <w:p w14:paraId="2685F34A">
            <w:pP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数据中心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供配电系统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组成拓扑简图</w:t>
            </w:r>
          </w:p>
        </w:tc>
      </w:tr>
      <w:tr w14:paraId="241BA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2024" w:hRule="atLeast"/>
          <w:jc w:val="center"/>
        </w:trPr>
        <w:tc>
          <w:tcPr>
            <w:tcW w:w="8397" w:type="dxa"/>
            <w:gridSpan w:val="7"/>
            <w:tcBorders>
              <w:bottom w:val="nil"/>
            </w:tcBorders>
            <w:noWrap w:val="0"/>
            <w:vAlign w:val="center"/>
          </w:tcPr>
          <w:p w14:paraId="08486E09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45E6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8396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3C8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  <w:lang w:eastAsia="zh-CN"/>
              </w:rPr>
              <w:t>（二）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  <w:t>绿色数据中心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  <w:lang w:eastAsia="zh-CN"/>
              </w:rPr>
              <w:t>自评表</w:t>
            </w:r>
          </w:p>
        </w:tc>
      </w:tr>
      <w:tr w14:paraId="55C05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86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098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8B4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指标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B4C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权重分值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E1E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eastAsia="zh-CN" w:bidi="ar"/>
              </w:rPr>
              <w:t>自评分数</w:t>
            </w:r>
          </w:p>
        </w:tc>
      </w:tr>
      <w:tr w14:paraId="37AB2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8396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F7E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、能源高效利用</w:t>
            </w:r>
          </w:p>
        </w:tc>
      </w:tr>
      <w:tr w14:paraId="4600E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D1AB8E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BDD062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电能利用效率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626308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40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D35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76312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E2F467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B83940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可再生能源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及储能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利用水平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EE49BB2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C2F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3A390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022988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842E1A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单位信息流量综合能耗下降水平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7005CA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BF0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220F7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DE9285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6BF29B3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数字化能碳管理水平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038E16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DBB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7E7E6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39AB33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495B29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余热余冷利用水平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9F5872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108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0CEA4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8396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EFA3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、绿色低碳发展</w:t>
            </w:r>
          </w:p>
        </w:tc>
      </w:tr>
      <w:tr w14:paraId="34D3D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20E421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809C636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水资源利用水平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6AF62C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E0BA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2CAF0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35AAFD6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EC90DC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绿色采购水平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4F17E7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3AD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3F722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258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2BB26E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C17B288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绿色运维水平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74AE58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CAB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49E29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258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08F1AC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9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DBF42CC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绿色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化改造提升情况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28A463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955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01CC2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258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651826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D4AFE7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绿色公共服务水平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E2172A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B89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0D967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8396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24CF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、科学布局及集约建设</w:t>
            </w:r>
          </w:p>
        </w:tc>
      </w:tr>
      <w:tr w14:paraId="759CA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5E2C9A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6349EE1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科学布局水平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F1D91A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AF9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7886D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6DAA8BB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051AD6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集约建设水平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18ED29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D0AC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5314A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8396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E207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、算力资源高效利用</w:t>
            </w:r>
          </w:p>
        </w:tc>
      </w:tr>
      <w:tr w14:paraId="6D780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E21EAF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93A5C6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机柜资源利用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（上架率）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114F4F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C356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73756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2C628B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91A61FB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信息设备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负荷利用水平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0274BE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DB6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046A7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E8ACF6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66304CF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网络资源利用水平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AB6BA51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EE5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65544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C1CCCB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041845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算力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能耗产出水平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D07B8B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EA25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6DF6F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758" w:type="dxa"/>
            <w:gridSpan w:val="6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F87DC8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总分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184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</w:tbl>
    <w:p w14:paraId="7139AACC">
      <w:pPr>
        <w:rPr>
          <w:rFonts w:hint="default" w:ascii="Times New Roman" w:hAnsi="Times New Roman" w:cs="Times New Roman"/>
          <w:sz w:val="24"/>
          <w:highlight w:val="none"/>
        </w:rPr>
        <w:sectPr>
          <w:headerReference r:id="rId12" w:type="default"/>
          <w:footerReference r:id="rId13" w:type="even"/>
          <w:pgSz w:w="11910" w:h="16840"/>
          <w:pgMar w:top="1440" w:right="1800" w:bottom="1440" w:left="1800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36335A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Style w:val="36"/>
          <w:rFonts w:hint="default" w:ascii="Times New Roman" w:hAnsi="Times New Roman" w:eastAsia="黑体" w:cs="Times New Roman"/>
          <w:sz w:val="36"/>
          <w:szCs w:val="36"/>
          <w:lang w:eastAsia="zh-CN"/>
        </w:rPr>
      </w:pPr>
      <w:r>
        <w:rPr>
          <w:rStyle w:val="36"/>
          <w:rFonts w:hint="default" w:ascii="Times New Roman" w:hAnsi="Times New Roman" w:cs="Times New Roman"/>
          <w:sz w:val="36"/>
          <w:szCs w:val="36"/>
        </w:rPr>
        <w:t>五、</w:t>
      </w:r>
      <w:r>
        <w:rPr>
          <w:rStyle w:val="36"/>
          <w:rFonts w:hint="default" w:ascii="Times New Roman" w:hAnsi="Times New Roman" w:eastAsia="黑体" w:cs="Times New Roman"/>
          <w:sz w:val="36"/>
          <w:szCs w:val="36"/>
          <w:lang w:eastAsia="zh-CN"/>
        </w:rPr>
        <w:t>具体情况说明（</w:t>
      </w:r>
      <w:r>
        <w:rPr>
          <w:rStyle w:val="36"/>
          <w:rFonts w:hint="default" w:ascii="Times New Roman" w:hAnsi="Times New Roman" w:eastAsia="黑体" w:cs="Times New Roman"/>
          <w:sz w:val="36"/>
          <w:szCs w:val="36"/>
          <w:lang w:val="en-US" w:eastAsia="zh-CN"/>
        </w:rPr>
        <w:t>提纲</w:t>
      </w:r>
      <w:r>
        <w:rPr>
          <w:rStyle w:val="36"/>
          <w:rFonts w:hint="default" w:ascii="Times New Roman" w:hAnsi="Times New Roman" w:eastAsia="黑体" w:cs="Times New Roman"/>
          <w:sz w:val="36"/>
          <w:szCs w:val="36"/>
          <w:lang w:eastAsia="zh-CN"/>
        </w:rPr>
        <w:t>）</w:t>
      </w:r>
    </w:p>
    <w:p w14:paraId="0E50CC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Style w:val="36"/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</w:p>
    <w:p w14:paraId="41C589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</w:rPr>
      </w:pPr>
      <w:r>
        <w:rPr>
          <w:rFonts w:hint="default" w:ascii="Times New Roman" w:hAnsi="Times New Roman" w:eastAsia="楷体_GB2312" w:cs="Times New Roman"/>
          <w:bCs w:val="0"/>
          <w:sz w:val="32"/>
          <w:szCs w:val="32"/>
          <w:highlight w:val="none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sz w:val="32"/>
          <w:lang w:eastAsia="zh-CN"/>
        </w:rPr>
        <w:t>总体</w:t>
      </w:r>
      <w:r>
        <w:rPr>
          <w:rFonts w:hint="default" w:ascii="Times New Roman" w:hAnsi="Times New Roman" w:eastAsia="楷体_GB2312" w:cs="Times New Roman"/>
          <w:sz w:val="32"/>
        </w:rPr>
        <w:t>情况</w:t>
      </w:r>
    </w:p>
    <w:p w14:paraId="561B37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</w:rPr>
        <w:t>数据中心基本情况（</w:t>
      </w: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</w:rPr>
        <w:t>00字以内）</w:t>
      </w:r>
    </w:p>
    <w:p w14:paraId="3BACE0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简要介绍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申报数据中心所属领域、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所属类型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用途方向、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地理位置、总占地面积、总建筑面积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、已安装机柜数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、折合标准机柜数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年总用电量等基本情况。可配有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一到两幅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数据中心外景图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或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效果图。</w:t>
      </w:r>
    </w:p>
    <w:p w14:paraId="1048DC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</w:rPr>
        <w:t>绿色数据中心建设</w:t>
      </w:r>
      <w:r>
        <w:rPr>
          <w:rFonts w:hint="eastAsia" w:ascii="Times New Roman" w:hAnsi="Times New Roman" w:eastAsia="楷体" w:cs="Times New Roman"/>
          <w:b w:val="0"/>
          <w:bCs w:val="0"/>
          <w:kern w:val="0"/>
          <w:sz w:val="32"/>
          <w:szCs w:val="32"/>
          <w:lang w:eastAsia="zh-CN"/>
        </w:rPr>
        <w:t>开展</w:t>
      </w: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</w:rPr>
        <w:t>情况（</w:t>
      </w: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</w:rPr>
        <w:t>00字以内）</w:t>
      </w:r>
    </w:p>
    <w:p w14:paraId="641553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简要介绍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组织开展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绿色数据中心建设情况以及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电能利用效率、可再生能源利用率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量化指标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提升情况。</w:t>
      </w:r>
    </w:p>
    <w:p w14:paraId="26CF81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楷体" w:cs="Times New Roman"/>
          <w:b w:val="0"/>
          <w:bCs w:val="0"/>
          <w:kern w:val="0"/>
          <w:sz w:val="32"/>
          <w:szCs w:val="32"/>
          <w:lang w:eastAsia="zh-CN"/>
        </w:rPr>
        <w:t>建设亮点</w:t>
      </w: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val="en-US" w:eastAsia="zh-CN"/>
        </w:rPr>
        <w:t>1000字以内</w:t>
      </w: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eastAsia="zh-CN"/>
        </w:rPr>
        <w:t>）</w:t>
      </w:r>
    </w:p>
    <w:p w14:paraId="5C4626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提炼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总结不少于三项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的具体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亮点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。要求文字内容精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，逻辑清晰，体现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具体工作内容和实施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效果，并配有对应图表。</w:t>
      </w:r>
    </w:p>
    <w:p w14:paraId="7EF2B3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</w:rPr>
      </w:pPr>
      <w:r>
        <w:rPr>
          <w:rFonts w:hint="default" w:ascii="Times New Roman" w:hAnsi="Times New Roman" w:eastAsia="楷体_GB2312" w:cs="Times New Roman"/>
          <w:bCs w:val="0"/>
          <w:sz w:val="32"/>
          <w:szCs w:val="32"/>
          <w:highlight w:val="none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sz w:val="32"/>
        </w:rPr>
        <w:t>绿色数据中心建设</w:t>
      </w:r>
      <w:r>
        <w:rPr>
          <w:rFonts w:hint="default" w:ascii="Times New Roman" w:hAnsi="Times New Roman" w:eastAsia="楷体_GB2312" w:cs="Times New Roman"/>
          <w:sz w:val="32"/>
          <w:lang w:eastAsia="zh-CN"/>
        </w:rPr>
        <w:t>具体</w:t>
      </w:r>
      <w:r>
        <w:rPr>
          <w:rFonts w:hint="default" w:ascii="Times New Roman" w:hAnsi="Times New Roman" w:eastAsia="楷体_GB2312" w:cs="Times New Roman"/>
          <w:sz w:val="32"/>
        </w:rPr>
        <w:t>情况</w:t>
      </w:r>
    </w:p>
    <w:p w14:paraId="29C64D1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对照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2025年度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国家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绿色数据中心评价指标体系》，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逐项详细说明自评分数理由，以及相应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证明材料索引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 w:bidi="ar"/>
        </w:rPr>
        <w:t>第几项证明材料、证明材料名称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 w:bidi="ar"/>
        </w:rPr>
        <w:t>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 w:bidi="ar"/>
        </w:rPr>
        <w:t>页码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 w14:paraId="505FBE0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可以表格形式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体现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，格式见附表。</w:t>
      </w:r>
    </w:p>
    <w:p w14:paraId="533DA6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（三）证明材料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清单</w:t>
      </w:r>
    </w:p>
    <w:p w14:paraId="6E4A71AF">
      <w:pPr>
        <w:keepNext w:val="0"/>
        <w:keepLines w:val="0"/>
        <w:pageBreakBefore w:val="0"/>
        <w:tabs>
          <w:tab w:val="center" w:pos="6663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对证明材料进行编目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（包含页码信息）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在本小节列出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 w14:paraId="69AA49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（四）证明材料</w:t>
      </w:r>
    </w:p>
    <w:p w14:paraId="0C989D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15" w:leftChars="7" w:firstLine="624" w:firstLineChars="195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按清单所列顺序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证明材料附在本小节内。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证明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材料包括但不限于以下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内容。</w:t>
      </w:r>
    </w:p>
    <w:p w14:paraId="32096B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申报单位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营业执照（必要）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;</w:t>
      </w:r>
    </w:p>
    <w:p w14:paraId="1AC019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覆盖申报数据中心的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增值电信业务经营许可证（如有）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</w:p>
    <w:p w14:paraId="255806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相关主管部门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同意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数据中心建设的批复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文件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（必要）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</w:p>
    <w:p w14:paraId="630BFD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申报数据中心财产权属相关证明（必要）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</w:p>
    <w:p w14:paraId="52311C87">
      <w:pPr>
        <w:keepNext w:val="0"/>
        <w:keepLines w:val="0"/>
        <w:pageBreakBefore w:val="0"/>
        <w:tabs>
          <w:tab w:val="center" w:pos="6663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申报数据中心已获得的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国家和地方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节能环保相关奖励证书（如有）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 w14:paraId="273D83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15" w:leftChars="7" w:firstLine="624" w:firstLineChars="195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6.相关检测报告、认证报告等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1BFAA7E9">
      <w:pPr>
        <w:widowControl/>
        <w:numPr>
          <w:ilvl w:val="0"/>
          <w:numId w:val="0"/>
        </w:numPr>
        <w:snapToGrid w:val="0"/>
        <w:spacing w:beforeLines="0" w:afterLines="0" w:line="360" w:lineRule="auto"/>
        <w:ind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附表</w:t>
      </w:r>
    </w:p>
    <w:tbl>
      <w:tblPr>
        <w:tblStyle w:val="1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2455"/>
        <w:gridCol w:w="1000"/>
        <w:gridCol w:w="1045"/>
        <w:gridCol w:w="1744"/>
        <w:gridCol w:w="1540"/>
      </w:tblGrid>
      <w:tr w14:paraId="722E6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C94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A5D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指标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526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权重分值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466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自评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分数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751C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理由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说明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34A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证明材料</w:t>
            </w:r>
          </w:p>
          <w:p w14:paraId="6ACAA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索引</w:t>
            </w:r>
          </w:p>
        </w:tc>
      </w:tr>
      <w:tr w14:paraId="55FB3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8293" w:type="dxa"/>
            <w:gridSpan w:val="6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F6E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  <w:lang w:eastAsia="zh-CN" w:bidi="ar"/>
              </w:rPr>
              <w:t>一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  <w:lang w:bidi="ar"/>
              </w:rPr>
              <w:t>、能源高效利用</w:t>
            </w:r>
          </w:p>
        </w:tc>
      </w:tr>
      <w:tr w14:paraId="0490A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3B1636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D2227EE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电能利用效率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F66486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40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9FE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173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57FB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（第几项证明材料、证明材料名称、页码，下同）</w:t>
            </w:r>
          </w:p>
        </w:tc>
      </w:tr>
      <w:tr w14:paraId="79D6D0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82D421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FAC794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可再生能源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及储能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利用水平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F7913D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0A7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93C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9E6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766CD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ECD334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75BC22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单位信息流量综合能耗下降水平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0D0961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EF3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E6B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D86F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0C70D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E6C380A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25DE37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数字化能碳管理水平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69CAD3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17C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D4A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8AD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053C5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EECACF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1FDEB2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余热余冷利用水平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404EFE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B9A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842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852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710BC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8293" w:type="dxa"/>
            <w:gridSpan w:val="6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BB37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  <w:lang w:eastAsia="zh-CN" w:bidi="ar"/>
              </w:rPr>
              <w:t>二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  <w:lang w:bidi="ar"/>
              </w:rPr>
              <w:t>、绿色低碳发展</w:t>
            </w:r>
          </w:p>
        </w:tc>
      </w:tr>
      <w:tr w14:paraId="0DCBF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3CECA1F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55AF01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水资源利用水平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110018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170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F36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2D3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1E848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E97EB72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67CE6E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绿色采购水平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4765909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AE9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31E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696B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2EEDD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CCD902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A11EC9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绿色运维水平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417979F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150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D19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8B1C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34DF5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B9D274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9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076F25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绿色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化改造提升情况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42747E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6C1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237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B34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074C1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AB332A2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F90C12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绿色公共服务水平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2D36A2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0C3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059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FED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1E541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8293" w:type="dxa"/>
            <w:gridSpan w:val="6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3FE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  <w:lang w:bidi="ar"/>
              </w:rPr>
              <w:t>、科学布局及集约建设</w:t>
            </w:r>
          </w:p>
        </w:tc>
      </w:tr>
      <w:tr w14:paraId="65455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740D64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2FEACBE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科学布局水平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47CEC0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F55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62B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522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16567D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7AA34F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F52B94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集约建设水平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D375D0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5D3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54360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192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2887C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8293" w:type="dxa"/>
            <w:gridSpan w:val="6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30D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  <w:lang w:eastAsia="zh-CN" w:bidi="ar"/>
              </w:rPr>
              <w:t>四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  <w:lang w:bidi="ar"/>
              </w:rPr>
              <w:t>、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  <w:t>算力资源高效利用</w:t>
            </w:r>
          </w:p>
        </w:tc>
      </w:tr>
      <w:tr w14:paraId="017F4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E8B069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B96295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机柜资源利用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（上架率）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20F9C8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6509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6A6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C3C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59E5E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8BD00F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E41F90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信息设备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负荷利用水平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E96A96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B81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C5E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CB9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48D8D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33AE7C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3AB426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网络资源利用水平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6BB52D8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CDC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954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120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73795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40A4A9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32CC13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算力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能耗产出水平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A9503F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9EA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522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8AC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121A4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3964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967F44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总分</w:t>
            </w:r>
          </w:p>
        </w:tc>
        <w:tc>
          <w:tcPr>
            <w:tcW w:w="4329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C06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</w:tbl>
    <w:p w14:paraId="0BE7EDA5">
      <w:pPr>
        <w:tabs>
          <w:tab w:val="center" w:pos="6663"/>
        </w:tabs>
        <w:spacing w:after="156" w:afterLines="50"/>
        <w:rPr>
          <w:rFonts w:hint="default" w:ascii="Times New Roman" w:hAnsi="Times New Roman" w:eastAsia="黑体" w:cs="Times New Roman"/>
          <w:bCs/>
          <w:sz w:val="36"/>
          <w:szCs w:val="21"/>
          <w:highlight w:val="none"/>
        </w:rPr>
      </w:pPr>
    </w:p>
    <w:sectPr>
      <w:footerReference r:id="rId14" w:type="even"/>
      <w:endnotePr>
        <w:numFmt w:val="decimal"/>
      </w:endnote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Noto Sans Mono CJK JP Regular">
    <w:altName w:val="华文中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Times New Roman"/>
    <w:panose1 w:val="020B0604020202020204"/>
    <w:charset w:val="00"/>
    <w:family w:val="roman"/>
    <w:pitch w:val="default"/>
    <w:sig w:usb0="FFFFFFFF" w:usb1="E9FFFFFF" w:usb2="0000003F" w:usb3="00000000" w:csb0="603F01FF" w:csb1="FFFF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96AC8">
    <w:pPr>
      <w:ind w:right="210" w:rightChars="100"/>
    </w:pPr>
    <w:r>
      <w:rPr>
        <w:sz w:val="28"/>
      </w:rPr>
      <w:pict>
        <v:rect id="文本框 11" o:spid="_x0000_s3072" o:spt="1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399AA17">
                <w:pPr>
                  <w:ind w:right="210" w:rightChars="100"/>
                </w:pP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166418">
    <w:pPr>
      <w:pStyle w:val="10"/>
      <w:ind w:right="360" w:firstLine="360"/>
    </w:pPr>
    <w:r>
      <w:rPr>
        <w:sz w:val="28"/>
      </w:rPr>
      <w:pict>
        <v:rect id="文本框 12" o:spid="_x0000_s3073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5878AD5">
                <w:pPr>
                  <w:pStyle w:val="10"/>
                  <w:ind w:left="210" w:leftChars="100"/>
                </w:pPr>
              </w:p>
            </w:txbxContent>
          </v:textbox>
        </v:rect>
      </w:pict>
    </w:r>
    <w:r>
      <w:rPr>
        <w:sz w:val="28"/>
      </w:rPr>
      <w:pict>
        <v:rect id="文本框 6" o:spid="_x0000_s3074" o:spt="1" style="position:absolute;left:0pt;margin-top:0pt;height:144pt;width:144pt;mso-position-horizontal:left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F77F84B">
                <w:pPr>
                  <w:pStyle w:val="10"/>
                  <w:ind w:left="210" w:leftChars="100"/>
                </w:pPr>
              </w:p>
            </w:txbxContent>
          </v:textbox>
        </v:rect>
      </w:pict>
    </w:r>
    <w:r>
      <w:rPr>
        <w:sz w:val="28"/>
      </w:rPr>
      <w:pict>
        <v:rect id="文本框 4" o:spid="_x0000_s3075" o:spt="1" style="position:absolute;left:0pt;margin-top:0pt;height:144pt;width:144pt;mso-position-horizontal:left;mso-position-horizontal-relative:margin;mso-wrap-style:none;z-index:25166336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1982ED0D">
                <w:pPr>
                  <w:pStyle w:val="10"/>
                  <w:ind w:left="210" w:leftChars="100"/>
                </w:pPr>
              </w:p>
            </w:txbxContent>
          </v:textbox>
        </v: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5061A">
    <w:pPr>
      <w:ind w:right="210" w:rightChars="100"/>
    </w:pPr>
    <w:r>
      <w:rPr>
        <w:sz w:val="28"/>
      </w:rPr>
      <w:pict>
        <v:shape id="_x0000_s3095" o:spid="_x0000_s3095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1DC0BF1">
                <w:pPr>
                  <w:pStyle w:val="10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fldChar w:fldCharType="begin"/>
                </w:r>
                <w:r>
                  <w:rPr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sz w:val="21"/>
                    <w:szCs w:val="21"/>
                  </w:rPr>
                  <w:fldChar w:fldCharType="separate"/>
                </w:r>
                <w:r>
                  <w:rPr>
                    <w:sz w:val="21"/>
                    <w:szCs w:val="21"/>
                  </w:rPr>
                  <w:t>1</w:t>
                </w:r>
                <w:r>
                  <w:rPr>
                    <w:sz w:val="21"/>
                    <w:szCs w:val="21"/>
                  </w:rPr>
                  <w:fldChar w:fldCharType="end"/>
                </w:r>
              </w:p>
            </w:txbxContent>
          </v:textbox>
        </v:shape>
      </w:pict>
    </w:r>
    <w:r>
      <w:rPr>
        <w:sz w:val="28"/>
      </w:rPr>
      <w:pict>
        <v:rect id="_x0000_s3096" o:spid="_x0000_s3096" o:spt="1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A2E05F1">
                <w:pPr>
                  <w:ind w:right="210" w:rightChars="100"/>
                </w:pPr>
              </w:p>
            </w:txbxContent>
          </v:textbox>
        </v:rect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FBF88">
    <w:pPr>
      <w:pStyle w:val="10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1928B3">
    <w:pPr>
      <w:pStyle w:val="10"/>
      <w:ind w:right="360" w:firstLine="0"/>
    </w:pPr>
    <w:r>
      <w:rPr>
        <w:sz w:val="28"/>
      </w:rPr>
      <w:pict>
        <v:rect id="矩形 1033" o:spid="_x0000_s3101" o:spt="1" style="position:absolute;left:0pt;margin-top:0pt;height:144pt;width:144pt;mso-position-horizontal:left;mso-position-horizontal-relative:margin;mso-wrap-style:none;z-index:25166848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8E2696E">
                <w:pPr>
                  <w:pStyle w:val="10"/>
                  <w:ind w:left="210" w:leftChars="100"/>
                </w:pPr>
              </w:p>
            </w:txbxContent>
          </v:textbox>
        </v:rect>
      </w:pict>
    </w:r>
    <w:r>
      <w:rPr>
        <w:sz w:val="28"/>
      </w:rPr>
      <w:pict>
        <v:rect id="矩形 1034" o:spid="_x0000_s3102" o:spt="1" style="position:absolute;left:0pt;margin-top:0pt;height:144pt;width:144pt;mso-position-horizontal:left;mso-position-horizontal-relative:margin;mso-wrap-style:none;z-index:25166950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8B3DE0B">
                <w:pPr>
                  <w:pStyle w:val="10"/>
                  <w:ind w:left="210" w:leftChars="100"/>
                </w:pPr>
              </w:p>
            </w:txbxContent>
          </v:textbox>
        </v:rect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70A66">
    <w:pPr>
      <w:pStyle w:val="10"/>
      <w:ind w:right="360" w:firstLine="360"/>
    </w:pPr>
    <w:r>
      <w:rPr>
        <w:sz w:val="28"/>
      </w:rPr>
      <w:pict>
        <v:rect id="_x0000_s3084" o:spid="_x0000_s3084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 w14:paraId="7B3E1609">
                <w:pPr>
                  <w:pStyle w:val="10"/>
                  <w:ind w:left="210" w:leftChars="100"/>
                </w:pPr>
              </w:p>
            </w:txbxContent>
          </v:textbox>
        </v:rect>
      </w:pict>
    </w:r>
    <w:r>
      <w:rPr>
        <w:sz w:val="28"/>
      </w:rPr>
      <w:pict>
        <v:rect id="_x0000_s3085" o:spid="_x0000_s3085" o:spt="1" style="position:absolute;left:0pt;margin-top:0pt;height:144pt;width:144pt;mso-position-horizontal:left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 w14:paraId="6D308FF1">
                <w:pPr>
                  <w:pStyle w:val="10"/>
                  <w:ind w:left="210" w:leftChars="100"/>
                </w:pPr>
              </w:p>
            </w:txbxContent>
          </v:textbox>
        </v:rect>
      </w:pict>
    </w:r>
    <w:r>
      <w:rPr>
        <w:sz w:val="28"/>
      </w:rPr>
      <w:pict>
        <v:rect id="_x0000_s3086" o:spid="_x0000_s3086" o:spt="1" style="position:absolute;left:0pt;margin-top:0pt;height:144pt;width:144pt;mso-position-horizontal:left;mso-position-horizontal-relative:margin;mso-wrap-style:none;z-index:25166438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 w14:paraId="4FC3DDA5">
                <w:pPr>
                  <w:pStyle w:val="10"/>
                  <w:ind w:left="210" w:leftChars="100"/>
                </w:pP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4A3CF">
    <w:pPr>
      <w:pStyle w:val="1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3057FD">
    <w:pPr>
      <w:pStyle w:val="11"/>
      <w:pBdr>
        <w:bottom w:val="none" w:color="auto" w:sz="0" w:space="0"/>
      </w:pBdr>
      <w:tabs>
        <w:tab w:val="left" w:pos="426"/>
      </w:tabs>
      <w:ind w:left="424" w:leftChars="202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93B79">
    <w:pPr>
      <w:pStyle w:val="11"/>
      <w:pBdr>
        <w:bottom w:val="none" w:color="auto" w:sz="0" w:space="0"/>
      </w:pBdr>
      <w:jc w:val="both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3078B">
    <w:pPr>
      <w:pStyle w:val="11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FFDE9">
    <w:pPr>
      <w:pStyle w:val="11"/>
      <w:pBdr>
        <w:bottom w:val="none" w:color="auto" w:sz="0" w:space="1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6FF4CB">
    <w:pPr>
      <w:pStyle w:val="11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2RkNzRlZTE4ODY2ZTM5ZTkxMjUwZTU3MmZiZmE2NGQifQ=="/>
  </w:docVars>
  <w:rsids>
    <w:rsidRoot w:val="00172A27"/>
    <w:rsid w:val="0001214D"/>
    <w:rsid w:val="00022078"/>
    <w:rsid w:val="0002629E"/>
    <w:rsid w:val="00030A8A"/>
    <w:rsid w:val="00040021"/>
    <w:rsid w:val="00045BAB"/>
    <w:rsid w:val="00063906"/>
    <w:rsid w:val="000700EC"/>
    <w:rsid w:val="00082208"/>
    <w:rsid w:val="00087244"/>
    <w:rsid w:val="00087E3F"/>
    <w:rsid w:val="0009576B"/>
    <w:rsid w:val="000A6856"/>
    <w:rsid w:val="000B0914"/>
    <w:rsid w:val="000B14DE"/>
    <w:rsid w:val="000B19D5"/>
    <w:rsid w:val="000B3A4F"/>
    <w:rsid w:val="000B5773"/>
    <w:rsid w:val="000D4F35"/>
    <w:rsid w:val="000E15E8"/>
    <w:rsid w:val="000F2187"/>
    <w:rsid w:val="000F2DD3"/>
    <w:rsid w:val="001363E1"/>
    <w:rsid w:val="00147F31"/>
    <w:rsid w:val="0016024A"/>
    <w:rsid w:val="00165F93"/>
    <w:rsid w:val="00170C59"/>
    <w:rsid w:val="00172A27"/>
    <w:rsid w:val="0018171D"/>
    <w:rsid w:val="001A3B8D"/>
    <w:rsid w:val="001A4FF2"/>
    <w:rsid w:val="001A5ABF"/>
    <w:rsid w:val="001B0397"/>
    <w:rsid w:val="001B13D0"/>
    <w:rsid w:val="001B27DA"/>
    <w:rsid w:val="001C6EA8"/>
    <w:rsid w:val="001D3207"/>
    <w:rsid w:val="001D4078"/>
    <w:rsid w:val="001E6F1C"/>
    <w:rsid w:val="001F57D0"/>
    <w:rsid w:val="00211CAE"/>
    <w:rsid w:val="00217B2E"/>
    <w:rsid w:val="0022005F"/>
    <w:rsid w:val="00222B4A"/>
    <w:rsid w:val="0022789D"/>
    <w:rsid w:val="00233287"/>
    <w:rsid w:val="00242AE9"/>
    <w:rsid w:val="002539D9"/>
    <w:rsid w:val="002627B4"/>
    <w:rsid w:val="002637E1"/>
    <w:rsid w:val="002833B9"/>
    <w:rsid w:val="00286DED"/>
    <w:rsid w:val="00296367"/>
    <w:rsid w:val="002A616E"/>
    <w:rsid w:val="002A7463"/>
    <w:rsid w:val="002B1CF4"/>
    <w:rsid w:val="002E0817"/>
    <w:rsid w:val="002F0EDB"/>
    <w:rsid w:val="002F61E6"/>
    <w:rsid w:val="002F746E"/>
    <w:rsid w:val="00304C96"/>
    <w:rsid w:val="00305C57"/>
    <w:rsid w:val="003265CC"/>
    <w:rsid w:val="003270BC"/>
    <w:rsid w:val="0032727E"/>
    <w:rsid w:val="00336085"/>
    <w:rsid w:val="003520D1"/>
    <w:rsid w:val="00354C99"/>
    <w:rsid w:val="00362CE2"/>
    <w:rsid w:val="003669B3"/>
    <w:rsid w:val="00367441"/>
    <w:rsid w:val="00371A91"/>
    <w:rsid w:val="00371AEB"/>
    <w:rsid w:val="003807F4"/>
    <w:rsid w:val="003843E4"/>
    <w:rsid w:val="00387447"/>
    <w:rsid w:val="003C7ADD"/>
    <w:rsid w:val="003D2954"/>
    <w:rsid w:val="003E5E11"/>
    <w:rsid w:val="004022A6"/>
    <w:rsid w:val="0040678A"/>
    <w:rsid w:val="00413BCA"/>
    <w:rsid w:val="004339FD"/>
    <w:rsid w:val="004371FB"/>
    <w:rsid w:val="00451F2E"/>
    <w:rsid w:val="004533C6"/>
    <w:rsid w:val="004606D3"/>
    <w:rsid w:val="00472344"/>
    <w:rsid w:val="00475F84"/>
    <w:rsid w:val="004800D2"/>
    <w:rsid w:val="0048176F"/>
    <w:rsid w:val="0049182C"/>
    <w:rsid w:val="00494BAD"/>
    <w:rsid w:val="0049532A"/>
    <w:rsid w:val="004B779D"/>
    <w:rsid w:val="004C04E0"/>
    <w:rsid w:val="004C738C"/>
    <w:rsid w:val="004F1CC5"/>
    <w:rsid w:val="005027B5"/>
    <w:rsid w:val="00521C50"/>
    <w:rsid w:val="00535E6E"/>
    <w:rsid w:val="0054638B"/>
    <w:rsid w:val="00546CE7"/>
    <w:rsid w:val="00561738"/>
    <w:rsid w:val="0057410B"/>
    <w:rsid w:val="00577C30"/>
    <w:rsid w:val="00592813"/>
    <w:rsid w:val="005B0AFF"/>
    <w:rsid w:val="005B7E19"/>
    <w:rsid w:val="005D1514"/>
    <w:rsid w:val="005D228A"/>
    <w:rsid w:val="005F5D4E"/>
    <w:rsid w:val="006065B7"/>
    <w:rsid w:val="00625314"/>
    <w:rsid w:val="0063239E"/>
    <w:rsid w:val="00644A29"/>
    <w:rsid w:val="00653E30"/>
    <w:rsid w:val="00656D90"/>
    <w:rsid w:val="0066206E"/>
    <w:rsid w:val="0066796C"/>
    <w:rsid w:val="00680AEC"/>
    <w:rsid w:val="00681058"/>
    <w:rsid w:val="00681290"/>
    <w:rsid w:val="006918A2"/>
    <w:rsid w:val="00694769"/>
    <w:rsid w:val="006B45D2"/>
    <w:rsid w:val="006C3D8B"/>
    <w:rsid w:val="006D1B52"/>
    <w:rsid w:val="006E20AD"/>
    <w:rsid w:val="006F4E59"/>
    <w:rsid w:val="006F5F5A"/>
    <w:rsid w:val="006F6965"/>
    <w:rsid w:val="00705EC3"/>
    <w:rsid w:val="00705EDC"/>
    <w:rsid w:val="00711479"/>
    <w:rsid w:val="00716C61"/>
    <w:rsid w:val="00716F55"/>
    <w:rsid w:val="007215D9"/>
    <w:rsid w:val="0072194F"/>
    <w:rsid w:val="007221E4"/>
    <w:rsid w:val="00723CD9"/>
    <w:rsid w:val="00731863"/>
    <w:rsid w:val="00772FAE"/>
    <w:rsid w:val="007969E1"/>
    <w:rsid w:val="007A181E"/>
    <w:rsid w:val="007B03F6"/>
    <w:rsid w:val="007B12B2"/>
    <w:rsid w:val="007B70BD"/>
    <w:rsid w:val="007C7769"/>
    <w:rsid w:val="007D0319"/>
    <w:rsid w:val="007D1BFA"/>
    <w:rsid w:val="007D1D73"/>
    <w:rsid w:val="007D5DE0"/>
    <w:rsid w:val="007E234C"/>
    <w:rsid w:val="007E467B"/>
    <w:rsid w:val="007F1278"/>
    <w:rsid w:val="00812B26"/>
    <w:rsid w:val="00814DD8"/>
    <w:rsid w:val="00814E15"/>
    <w:rsid w:val="00822D90"/>
    <w:rsid w:val="00827D76"/>
    <w:rsid w:val="008315A5"/>
    <w:rsid w:val="00834145"/>
    <w:rsid w:val="00837A17"/>
    <w:rsid w:val="00841EDF"/>
    <w:rsid w:val="00843145"/>
    <w:rsid w:val="00850028"/>
    <w:rsid w:val="0085303D"/>
    <w:rsid w:val="0087706D"/>
    <w:rsid w:val="0088454A"/>
    <w:rsid w:val="008911EE"/>
    <w:rsid w:val="00895CAE"/>
    <w:rsid w:val="008961F1"/>
    <w:rsid w:val="00896E7A"/>
    <w:rsid w:val="008A4517"/>
    <w:rsid w:val="008B1342"/>
    <w:rsid w:val="008B18B2"/>
    <w:rsid w:val="008C350E"/>
    <w:rsid w:val="008C5711"/>
    <w:rsid w:val="008C61E1"/>
    <w:rsid w:val="008D33BD"/>
    <w:rsid w:val="008E50C4"/>
    <w:rsid w:val="008E5308"/>
    <w:rsid w:val="008F6932"/>
    <w:rsid w:val="008F7C24"/>
    <w:rsid w:val="00900444"/>
    <w:rsid w:val="00900DDF"/>
    <w:rsid w:val="009136C7"/>
    <w:rsid w:val="00921096"/>
    <w:rsid w:val="00926B13"/>
    <w:rsid w:val="00927313"/>
    <w:rsid w:val="0093331C"/>
    <w:rsid w:val="009403C6"/>
    <w:rsid w:val="00951A81"/>
    <w:rsid w:val="0095341A"/>
    <w:rsid w:val="0095437C"/>
    <w:rsid w:val="00957644"/>
    <w:rsid w:val="00971A74"/>
    <w:rsid w:val="00972534"/>
    <w:rsid w:val="0098378D"/>
    <w:rsid w:val="009D551C"/>
    <w:rsid w:val="009D7AEC"/>
    <w:rsid w:val="009E4663"/>
    <w:rsid w:val="00A047FB"/>
    <w:rsid w:val="00A22334"/>
    <w:rsid w:val="00A32FED"/>
    <w:rsid w:val="00A7280F"/>
    <w:rsid w:val="00A81AA8"/>
    <w:rsid w:val="00A82CCE"/>
    <w:rsid w:val="00A87862"/>
    <w:rsid w:val="00AB3A8D"/>
    <w:rsid w:val="00AC25EE"/>
    <w:rsid w:val="00AC6B0E"/>
    <w:rsid w:val="00AE1DCB"/>
    <w:rsid w:val="00AE6D9E"/>
    <w:rsid w:val="00AE7CBD"/>
    <w:rsid w:val="00AF0FD4"/>
    <w:rsid w:val="00AF2E0F"/>
    <w:rsid w:val="00AF3208"/>
    <w:rsid w:val="00AF4B8B"/>
    <w:rsid w:val="00AF69DC"/>
    <w:rsid w:val="00AF768F"/>
    <w:rsid w:val="00AF7B54"/>
    <w:rsid w:val="00B0338B"/>
    <w:rsid w:val="00B0464A"/>
    <w:rsid w:val="00B133B8"/>
    <w:rsid w:val="00B3628C"/>
    <w:rsid w:val="00B440A9"/>
    <w:rsid w:val="00B476F9"/>
    <w:rsid w:val="00B47DF8"/>
    <w:rsid w:val="00B519ED"/>
    <w:rsid w:val="00B51D4B"/>
    <w:rsid w:val="00B548D4"/>
    <w:rsid w:val="00B573A8"/>
    <w:rsid w:val="00B6304D"/>
    <w:rsid w:val="00B67898"/>
    <w:rsid w:val="00B71D00"/>
    <w:rsid w:val="00B81CE2"/>
    <w:rsid w:val="00B915D6"/>
    <w:rsid w:val="00B91B8D"/>
    <w:rsid w:val="00BB1B7C"/>
    <w:rsid w:val="00BB3BC5"/>
    <w:rsid w:val="00BD009D"/>
    <w:rsid w:val="00BD62C8"/>
    <w:rsid w:val="00BD75DB"/>
    <w:rsid w:val="00BD7FD2"/>
    <w:rsid w:val="00BE33E9"/>
    <w:rsid w:val="00BF1952"/>
    <w:rsid w:val="00BF1AD2"/>
    <w:rsid w:val="00C00974"/>
    <w:rsid w:val="00C04367"/>
    <w:rsid w:val="00C05EBA"/>
    <w:rsid w:val="00C07B99"/>
    <w:rsid w:val="00C1282C"/>
    <w:rsid w:val="00C24460"/>
    <w:rsid w:val="00C26245"/>
    <w:rsid w:val="00C51B41"/>
    <w:rsid w:val="00C57DA8"/>
    <w:rsid w:val="00C75555"/>
    <w:rsid w:val="00C84211"/>
    <w:rsid w:val="00C86586"/>
    <w:rsid w:val="00C97B7B"/>
    <w:rsid w:val="00CA060E"/>
    <w:rsid w:val="00CA34DB"/>
    <w:rsid w:val="00CB5046"/>
    <w:rsid w:val="00CB6868"/>
    <w:rsid w:val="00CD4B82"/>
    <w:rsid w:val="00CD7E67"/>
    <w:rsid w:val="00CE0B9A"/>
    <w:rsid w:val="00CE1F8F"/>
    <w:rsid w:val="00CE3223"/>
    <w:rsid w:val="00CE3DA4"/>
    <w:rsid w:val="00CE52F0"/>
    <w:rsid w:val="00CE62DF"/>
    <w:rsid w:val="00CE6ABC"/>
    <w:rsid w:val="00CF4B05"/>
    <w:rsid w:val="00D054B0"/>
    <w:rsid w:val="00D1407F"/>
    <w:rsid w:val="00D17CD5"/>
    <w:rsid w:val="00D262E0"/>
    <w:rsid w:val="00D273A5"/>
    <w:rsid w:val="00D27991"/>
    <w:rsid w:val="00D32BE6"/>
    <w:rsid w:val="00D60709"/>
    <w:rsid w:val="00D62BC3"/>
    <w:rsid w:val="00D77CA3"/>
    <w:rsid w:val="00D84E40"/>
    <w:rsid w:val="00D90884"/>
    <w:rsid w:val="00D95341"/>
    <w:rsid w:val="00DA15EA"/>
    <w:rsid w:val="00DA2FB9"/>
    <w:rsid w:val="00DA5AE0"/>
    <w:rsid w:val="00DA5EA2"/>
    <w:rsid w:val="00DC5EA4"/>
    <w:rsid w:val="00DD06BA"/>
    <w:rsid w:val="00DD52F9"/>
    <w:rsid w:val="00DE45FB"/>
    <w:rsid w:val="00DF4787"/>
    <w:rsid w:val="00E025F6"/>
    <w:rsid w:val="00E11500"/>
    <w:rsid w:val="00E122B8"/>
    <w:rsid w:val="00E14D3B"/>
    <w:rsid w:val="00E14ED5"/>
    <w:rsid w:val="00E15228"/>
    <w:rsid w:val="00E15ADF"/>
    <w:rsid w:val="00E22457"/>
    <w:rsid w:val="00E23F6E"/>
    <w:rsid w:val="00E265A7"/>
    <w:rsid w:val="00E2663F"/>
    <w:rsid w:val="00E40EE7"/>
    <w:rsid w:val="00E53E05"/>
    <w:rsid w:val="00E60793"/>
    <w:rsid w:val="00E65447"/>
    <w:rsid w:val="00E727AC"/>
    <w:rsid w:val="00E72AE3"/>
    <w:rsid w:val="00E76BCA"/>
    <w:rsid w:val="00E858FF"/>
    <w:rsid w:val="00E86A9D"/>
    <w:rsid w:val="00E955C9"/>
    <w:rsid w:val="00EA2BF7"/>
    <w:rsid w:val="00EA3B9A"/>
    <w:rsid w:val="00EA4863"/>
    <w:rsid w:val="00EA67F0"/>
    <w:rsid w:val="00EC6F24"/>
    <w:rsid w:val="00ED398C"/>
    <w:rsid w:val="00ED6F45"/>
    <w:rsid w:val="00EF018F"/>
    <w:rsid w:val="00EF03FB"/>
    <w:rsid w:val="00EF2AA0"/>
    <w:rsid w:val="00EF5E67"/>
    <w:rsid w:val="00F001ED"/>
    <w:rsid w:val="00F4735A"/>
    <w:rsid w:val="00F52ECB"/>
    <w:rsid w:val="00F573EF"/>
    <w:rsid w:val="00F60194"/>
    <w:rsid w:val="00F81824"/>
    <w:rsid w:val="00FA25F2"/>
    <w:rsid w:val="00FA46C6"/>
    <w:rsid w:val="00FB0919"/>
    <w:rsid w:val="00FB7305"/>
    <w:rsid w:val="00FC2F0D"/>
    <w:rsid w:val="00FE06E2"/>
    <w:rsid w:val="00FF3A22"/>
    <w:rsid w:val="01D2330E"/>
    <w:rsid w:val="023B6A38"/>
    <w:rsid w:val="02C16911"/>
    <w:rsid w:val="02DB52BD"/>
    <w:rsid w:val="050C635F"/>
    <w:rsid w:val="05145E61"/>
    <w:rsid w:val="05FF8941"/>
    <w:rsid w:val="065A68B6"/>
    <w:rsid w:val="09B10F6C"/>
    <w:rsid w:val="09D775F0"/>
    <w:rsid w:val="0A1D4C33"/>
    <w:rsid w:val="0A97409D"/>
    <w:rsid w:val="0AB45767"/>
    <w:rsid w:val="0AE71698"/>
    <w:rsid w:val="0AEA4E97"/>
    <w:rsid w:val="0B7264B1"/>
    <w:rsid w:val="0BBF2615"/>
    <w:rsid w:val="0C793758"/>
    <w:rsid w:val="0E6C4056"/>
    <w:rsid w:val="0E704357"/>
    <w:rsid w:val="0EA16002"/>
    <w:rsid w:val="0ED07E5C"/>
    <w:rsid w:val="0F112846"/>
    <w:rsid w:val="0F8D020F"/>
    <w:rsid w:val="0FDDCA6E"/>
    <w:rsid w:val="0FF18A85"/>
    <w:rsid w:val="104E60CE"/>
    <w:rsid w:val="106F634F"/>
    <w:rsid w:val="114726B5"/>
    <w:rsid w:val="128D43FF"/>
    <w:rsid w:val="13FF5419"/>
    <w:rsid w:val="140836E3"/>
    <w:rsid w:val="143B1F17"/>
    <w:rsid w:val="14937CC4"/>
    <w:rsid w:val="14E173D0"/>
    <w:rsid w:val="15250840"/>
    <w:rsid w:val="15771544"/>
    <w:rsid w:val="15E522F0"/>
    <w:rsid w:val="16D24D5E"/>
    <w:rsid w:val="17BC5001"/>
    <w:rsid w:val="17EC4792"/>
    <w:rsid w:val="1804388A"/>
    <w:rsid w:val="183F64D4"/>
    <w:rsid w:val="18B232E6"/>
    <w:rsid w:val="19517C44"/>
    <w:rsid w:val="19D16C6A"/>
    <w:rsid w:val="19DE26FD"/>
    <w:rsid w:val="19DE42DA"/>
    <w:rsid w:val="19DF45AE"/>
    <w:rsid w:val="1A18186E"/>
    <w:rsid w:val="1A880997"/>
    <w:rsid w:val="1BB47375"/>
    <w:rsid w:val="1BE37C5A"/>
    <w:rsid w:val="1D2C1CC1"/>
    <w:rsid w:val="1D505927"/>
    <w:rsid w:val="1D93381D"/>
    <w:rsid w:val="1DDE2DCF"/>
    <w:rsid w:val="1E711282"/>
    <w:rsid w:val="1E82371B"/>
    <w:rsid w:val="1EB15DEE"/>
    <w:rsid w:val="1F0D1100"/>
    <w:rsid w:val="1F13300A"/>
    <w:rsid w:val="1F585CFC"/>
    <w:rsid w:val="1F5982F6"/>
    <w:rsid w:val="1F6F5922"/>
    <w:rsid w:val="1F9840BB"/>
    <w:rsid w:val="1F9E45C4"/>
    <w:rsid w:val="1FF7CB96"/>
    <w:rsid w:val="1FFBE963"/>
    <w:rsid w:val="202B0FB2"/>
    <w:rsid w:val="20631369"/>
    <w:rsid w:val="209C0C38"/>
    <w:rsid w:val="217472F0"/>
    <w:rsid w:val="21831B09"/>
    <w:rsid w:val="22257114"/>
    <w:rsid w:val="228933C9"/>
    <w:rsid w:val="229F0FDC"/>
    <w:rsid w:val="231C3E29"/>
    <w:rsid w:val="234826EF"/>
    <w:rsid w:val="2409692A"/>
    <w:rsid w:val="24E37F11"/>
    <w:rsid w:val="24F43A2F"/>
    <w:rsid w:val="256A6EF1"/>
    <w:rsid w:val="25870A1F"/>
    <w:rsid w:val="25D4529B"/>
    <w:rsid w:val="28C67196"/>
    <w:rsid w:val="2AA0747E"/>
    <w:rsid w:val="2B4D2E1A"/>
    <w:rsid w:val="2B4D4FFF"/>
    <w:rsid w:val="2B6C449D"/>
    <w:rsid w:val="2DFEFC19"/>
    <w:rsid w:val="2E2126D8"/>
    <w:rsid w:val="2E65302C"/>
    <w:rsid w:val="2E766B49"/>
    <w:rsid w:val="30F00157"/>
    <w:rsid w:val="310D1C85"/>
    <w:rsid w:val="316B201F"/>
    <w:rsid w:val="32296F5A"/>
    <w:rsid w:val="326E42CA"/>
    <w:rsid w:val="32A01DF1"/>
    <w:rsid w:val="32F26CA9"/>
    <w:rsid w:val="334D33F4"/>
    <w:rsid w:val="33AF005B"/>
    <w:rsid w:val="34DF500B"/>
    <w:rsid w:val="354A22EC"/>
    <w:rsid w:val="35A12A09"/>
    <w:rsid w:val="36091134"/>
    <w:rsid w:val="36F689D4"/>
    <w:rsid w:val="373B27AA"/>
    <w:rsid w:val="37645B6D"/>
    <w:rsid w:val="37A44758"/>
    <w:rsid w:val="38423200"/>
    <w:rsid w:val="384D38EC"/>
    <w:rsid w:val="38E56968"/>
    <w:rsid w:val="39D65971"/>
    <w:rsid w:val="3A5F359E"/>
    <w:rsid w:val="3A992100"/>
    <w:rsid w:val="3B0532F1"/>
    <w:rsid w:val="3B73006C"/>
    <w:rsid w:val="3BC606A0"/>
    <w:rsid w:val="3BCA6A47"/>
    <w:rsid w:val="3BDF41EE"/>
    <w:rsid w:val="3D8A3F82"/>
    <w:rsid w:val="3DBD1F0D"/>
    <w:rsid w:val="3DFFD90F"/>
    <w:rsid w:val="3EFD1BBF"/>
    <w:rsid w:val="3F1F8057"/>
    <w:rsid w:val="3F5AB072"/>
    <w:rsid w:val="3F7F0F33"/>
    <w:rsid w:val="3FCF9DD4"/>
    <w:rsid w:val="3FFA5223"/>
    <w:rsid w:val="400F6D30"/>
    <w:rsid w:val="4026444D"/>
    <w:rsid w:val="40C83C56"/>
    <w:rsid w:val="410924C1"/>
    <w:rsid w:val="416747F0"/>
    <w:rsid w:val="42071191"/>
    <w:rsid w:val="42D32F6E"/>
    <w:rsid w:val="435A070C"/>
    <w:rsid w:val="43FB34E3"/>
    <w:rsid w:val="45433AAF"/>
    <w:rsid w:val="45562AD0"/>
    <w:rsid w:val="457A48DC"/>
    <w:rsid w:val="45CB0510"/>
    <w:rsid w:val="46A6AE2F"/>
    <w:rsid w:val="47947AFC"/>
    <w:rsid w:val="4853732A"/>
    <w:rsid w:val="4927342D"/>
    <w:rsid w:val="4AE01685"/>
    <w:rsid w:val="4C8E0306"/>
    <w:rsid w:val="4D9145CE"/>
    <w:rsid w:val="4DDEDBD3"/>
    <w:rsid w:val="4DF542F3"/>
    <w:rsid w:val="4E0C3F18"/>
    <w:rsid w:val="4E376061"/>
    <w:rsid w:val="4EC82FEC"/>
    <w:rsid w:val="4EF92D15"/>
    <w:rsid w:val="4EFD0BB7"/>
    <w:rsid w:val="4FFF38A7"/>
    <w:rsid w:val="501651EA"/>
    <w:rsid w:val="503264DF"/>
    <w:rsid w:val="52291B63"/>
    <w:rsid w:val="52386405"/>
    <w:rsid w:val="545F71FB"/>
    <w:rsid w:val="548D6A45"/>
    <w:rsid w:val="55441A20"/>
    <w:rsid w:val="556876AD"/>
    <w:rsid w:val="558D1E6B"/>
    <w:rsid w:val="55BE263A"/>
    <w:rsid w:val="55DE2D15"/>
    <w:rsid w:val="56260D65"/>
    <w:rsid w:val="567C3CF2"/>
    <w:rsid w:val="56DFBCB2"/>
    <w:rsid w:val="56F11733"/>
    <w:rsid w:val="573E46DD"/>
    <w:rsid w:val="57AD78E7"/>
    <w:rsid w:val="584410E0"/>
    <w:rsid w:val="58495567"/>
    <w:rsid w:val="58D802CE"/>
    <w:rsid w:val="58D95D50"/>
    <w:rsid w:val="58DC4A89"/>
    <w:rsid w:val="5902108C"/>
    <w:rsid w:val="590F7EE2"/>
    <w:rsid w:val="595D3DAB"/>
    <w:rsid w:val="598F587E"/>
    <w:rsid w:val="59DB0034"/>
    <w:rsid w:val="5A7744F7"/>
    <w:rsid w:val="5AAFD8B8"/>
    <w:rsid w:val="5AC664D6"/>
    <w:rsid w:val="5BB24978"/>
    <w:rsid w:val="5BCBDA64"/>
    <w:rsid w:val="5BCF4727"/>
    <w:rsid w:val="5BEF733F"/>
    <w:rsid w:val="5BFA7EF6"/>
    <w:rsid w:val="5C367357"/>
    <w:rsid w:val="5C5C6C96"/>
    <w:rsid w:val="5CBA1507"/>
    <w:rsid w:val="5CD22403"/>
    <w:rsid w:val="5D6E71A4"/>
    <w:rsid w:val="5E6F5CAF"/>
    <w:rsid w:val="5EFFF50B"/>
    <w:rsid w:val="5F274BAB"/>
    <w:rsid w:val="5F5FF9A3"/>
    <w:rsid w:val="5FBE05A1"/>
    <w:rsid w:val="5FBEDEB8"/>
    <w:rsid w:val="5FC413D3"/>
    <w:rsid w:val="5FFA4E11"/>
    <w:rsid w:val="60630D2F"/>
    <w:rsid w:val="607544CD"/>
    <w:rsid w:val="60A5DE85"/>
    <w:rsid w:val="618F629E"/>
    <w:rsid w:val="625B3673"/>
    <w:rsid w:val="62716891"/>
    <w:rsid w:val="635F31AB"/>
    <w:rsid w:val="64E262CE"/>
    <w:rsid w:val="6535464F"/>
    <w:rsid w:val="65757CA5"/>
    <w:rsid w:val="65BF14FC"/>
    <w:rsid w:val="65DB57AB"/>
    <w:rsid w:val="666C7096"/>
    <w:rsid w:val="66AA4025"/>
    <w:rsid w:val="66DE4873"/>
    <w:rsid w:val="67046310"/>
    <w:rsid w:val="67DBA80E"/>
    <w:rsid w:val="67E05D3A"/>
    <w:rsid w:val="68153BCE"/>
    <w:rsid w:val="681C3F6B"/>
    <w:rsid w:val="68B66FDB"/>
    <w:rsid w:val="68FE2FAA"/>
    <w:rsid w:val="692F74CB"/>
    <w:rsid w:val="699839F1"/>
    <w:rsid w:val="69EA2137"/>
    <w:rsid w:val="69EA71A1"/>
    <w:rsid w:val="6A936F09"/>
    <w:rsid w:val="6A9FD96D"/>
    <w:rsid w:val="6B391278"/>
    <w:rsid w:val="6B8922FC"/>
    <w:rsid w:val="6BB31A6F"/>
    <w:rsid w:val="6BBF86EE"/>
    <w:rsid w:val="6BFA0CDD"/>
    <w:rsid w:val="6BFB6D2E"/>
    <w:rsid w:val="6C117364"/>
    <w:rsid w:val="6D0A4613"/>
    <w:rsid w:val="6D415DCA"/>
    <w:rsid w:val="6D98205C"/>
    <w:rsid w:val="6DECEDD4"/>
    <w:rsid w:val="6DF5552A"/>
    <w:rsid w:val="6E0C3A38"/>
    <w:rsid w:val="6E2D07D7"/>
    <w:rsid w:val="6E794BCD"/>
    <w:rsid w:val="6EB505AF"/>
    <w:rsid w:val="6F504752"/>
    <w:rsid w:val="6F7FE8D9"/>
    <w:rsid w:val="6FA53D87"/>
    <w:rsid w:val="6FEF125D"/>
    <w:rsid w:val="6FFF6039"/>
    <w:rsid w:val="70445983"/>
    <w:rsid w:val="706978FC"/>
    <w:rsid w:val="70973D45"/>
    <w:rsid w:val="70CD3D9D"/>
    <w:rsid w:val="710C0A72"/>
    <w:rsid w:val="71351848"/>
    <w:rsid w:val="713C53A7"/>
    <w:rsid w:val="719A286D"/>
    <w:rsid w:val="71F118FE"/>
    <w:rsid w:val="725C9846"/>
    <w:rsid w:val="7271444E"/>
    <w:rsid w:val="7284346E"/>
    <w:rsid w:val="73DBD82C"/>
    <w:rsid w:val="73F73823"/>
    <w:rsid w:val="73F7B299"/>
    <w:rsid w:val="744A4D27"/>
    <w:rsid w:val="755F4EA1"/>
    <w:rsid w:val="75766168"/>
    <w:rsid w:val="75AC634D"/>
    <w:rsid w:val="75EE372B"/>
    <w:rsid w:val="75F3408F"/>
    <w:rsid w:val="76053BCA"/>
    <w:rsid w:val="76FF6C5A"/>
    <w:rsid w:val="77664B3C"/>
    <w:rsid w:val="777FD06A"/>
    <w:rsid w:val="77DFF060"/>
    <w:rsid w:val="77F708B0"/>
    <w:rsid w:val="780008EC"/>
    <w:rsid w:val="78B11DE7"/>
    <w:rsid w:val="798D4BFB"/>
    <w:rsid w:val="7ADB75EF"/>
    <w:rsid w:val="7B1BEB2F"/>
    <w:rsid w:val="7B5F0904"/>
    <w:rsid w:val="7B783090"/>
    <w:rsid w:val="7BC43095"/>
    <w:rsid w:val="7BD61B65"/>
    <w:rsid w:val="7BD63250"/>
    <w:rsid w:val="7BFF45C3"/>
    <w:rsid w:val="7BFF7BA9"/>
    <w:rsid w:val="7C2B694B"/>
    <w:rsid w:val="7CC3693C"/>
    <w:rsid w:val="7CDA4ADB"/>
    <w:rsid w:val="7CE73678"/>
    <w:rsid w:val="7D1D1B83"/>
    <w:rsid w:val="7D6D4BD6"/>
    <w:rsid w:val="7D7035DC"/>
    <w:rsid w:val="7DBDB284"/>
    <w:rsid w:val="7DF68A39"/>
    <w:rsid w:val="7DFB45AB"/>
    <w:rsid w:val="7DFE7879"/>
    <w:rsid w:val="7E2F75E6"/>
    <w:rsid w:val="7E5DBE2D"/>
    <w:rsid w:val="7E676FEC"/>
    <w:rsid w:val="7E717031"/>
    <w:rsid w:val="7E9D51E7"/>
    <w:rsid w:val="7EAB205F"/>
    <w:rsid w:val="7EABF9FE"/>
    <w:rsid w:val="7ED7823F"/>
    <w:rsid w:val="7F127358"/>
    <w:rsid w:val="7F7441A0"/>
    <w:rsid w:val="7F774392"/>
    <w:rsid w:val="7F7BA6A4"/>
    <w:rsid w:val="7F8D2652"/>
    <w:rsid w:val="7F97F1F5"/>
    <w:rsid w:val="7F9F33BE"/>
    <w:rsid w:val="7FBBFC1B"/>
    <w:rsid w:val="7FBDC735"/>
    <w:rsid w:val="7FE241C3"/>
    <w:rsid w:val="7FE7F1FA"/>
    <w:rsid w:val="7FFCE912"/>
    <w:rsid w:val="7FFD2A81"/>
    <w:rsid w:val="7FFFE7E6"/>
    <w:rsid w:val="8EF7CCC9"/>
    <w:rsid w:val="8FFF636C"/>
    <w:rsid w:val="9369EB24"/>
    <w:rsid w:val="95EADE21"/>
    <w:rsid w:val="9978F079"/>
    <w:rsid w:val="9AD62649"/>
    <w:rsid w:val="9BDF691F"/>
    <w:rsid w:val="9DFF0FBE"/>
    <w:rsid w:val="9F45E74D"/>
    <w:rsid w:val="9FEFB149"/>
    <w:rsid w:val="A94F82C0"/>
    <w:rsid w:val="A97659A3"/>
    <w:rsid w:val="AA49BED0"/>
    <w:rsid w:val="B1BDB6F1"/>
    <w:rsid w:val="B57F232A"/>
    <w:rsid w:val="B8FA29A2"/>
    <w:rsid w:val="B9FF036B"/>
    <w:rsid w:val="BAFECDAE"/>
    <w:rsid w:val="BBB1B4D6"/>
    <w:rsid w:val="BD975A50"/>
    <w:rsid w:val="BDFE99B1"/>
    <w:rsid w:val="BEFC2228"/>
    <w:rsid w:val="BF3F4461"/>
    <w:rsid w:val="BF5ECF41"/>
    <w:rsid w:val="BFB483E0"/>
    <w:rsid w:val="BFBDC847"/>
    <w:rsid w:val="BFDE589A"/>
    <w:rsid w:val="CEF6EE78"/>
    <w:rsid w:val="D19F8A09"/>
    <w:rsid w:val="D3BFF1D8"/>
    <w:rsid w:val="D5FFB453"/>
    <w:rsid w:val="D673A466"/>
    <w:rsid w:val="D70FFE00"/>
    <w:rsid w:val="D71D728B"/>
    <w:rsid w:val="DD7BB951"/>
    <w:rsid w:val="DDFF13CE"/>
    <w:rsid w:val="DE237F5C"/>
    <w:rsid w:val="DFD7A730"/>
    <w:rsid w:val="E3FE02C0"/>
    <w:rsid w:val="E5FFF232"/>
    <w:rsid w:val="E7F77C1E"/>
    <w:rsid w:val="EADF247E"/>
    <w:rsid w:val="EBFEC6C8"/>
    <w:rsid w:val="EBFF8882"/>
    <w:rsid w:val="EEE92E3D"/>
    <w:rsid w:val="EF3E3688"/>
    <w:rsid w:val="EF53D9CA"/>
    <w:rsid w:val="EFDFFF16"/>
    <w:rsid w:val="EFFF63AB"/>
    <w:rsid w:val="F0FF9D7A"/>
    <w:rsid w:val="F2D65018"/>
    <w:rsid w:val="F37999E2"/>
    <w:rsid w:val="F37A88D3"/>
    <w:rsid w:val="F39D3324"/>
    <w:rsid w:val="F3C78134"/>
    <w:rsid w:val="F5FCA6D4"/>
    <w:rsid w:val="F65B96EC"/>
    <w:rsid w:val="F67D8F04"/>
    <w:rsid w:val="F77FB744"/>
    <w:rsid w:val="F7DB988C"/>
    <w:rsid w:val="F7F78EEC"/>
    <w:rsid w:val="F7FC94CD"/>
    <w:rsid w:val="F9FEEBE2"/>
    <w:rsid w:val="FA9B7742"/>
    <w:rsid w:val="FB5315BE"/>
    <w:rsid w:val="FB97B42B"/>
    <w:rsid w:val="FBB398CA"/>
    <w:rsid w:val="FCADF257"/>
    <w:rsid w:val="FDB60F98"/>
    <w:rsid w:val="FDCD8223"/>
    <w:rsid w:val="FDE5D0F2"/>
    <w:rsid w:val="FDFFEE6E"/>
    <w:rsid w:val="FE3B87F1"/>
    <w:rsid w:val="FEFCB575"/>
    <w:rsid w:val="FEFEA9B3"/>
    <w:rsid w:val="FEFF973F"/>
    <w:rsid w:val="FF9F32F3"/>
    <w:rsid w:val="FFDBF1E8"/>
    <w:rsid w:val="FFDC3D7A"/>
    <w:rsid w:val="FFDF0105"/>
    <w:rsid w:val="FFEC44D0"/>
    <w:rsid w:val="FFEFFE61"/>
    <w:rsid w:val="FFF5EAA7"/>
    <w:rsid w:val="FFFF3A84"/>
    <w:rsid w:val="FFFF5A87"/>
    <w:rsid w:val="FFFFB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qFormat="1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qFormat="1" w:uiPriority="99" w:semiHidden="0" w:name="footnote reference"/>
    <w:lsdException w:qFormat="1" w:unhideWhenUsed="0" w:uiPriority="0" w:semiHidden="0" w:name="annotation reference"/>
    <w:lsdException w:uiPriority="0" w:name="line number"/>
    <w:lsdException w:qFormat="1" w:uiPriority="99" w:semiHidden="0" w:name="page number"/>
    <w:lsdException w:qFormat="1" w:uiPriority="99" w:semiHidden="0" w:name="endnote reference"/>
    <w:lsdException w:qFormat="1" w:uiPriority="99" w:semiHidden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0"/>
    <w:pPr>
      <w:keepNext/>
      <w:keepLines/>
      <w:tabs>
        <w:tab w:val="left" w:pos="1418"/>
      </w:tabs>
      <w:spacing w:line="360" w:lineRule="auto"/>
      <w:ind w:firstLine="640" w:firstLineChars="200"/>
      <w:outlineLvl w:val="0"/>
    </w:pPr>
    <w:rPr>
      <w:rFonts w:ascii="黑体" w:hAnsi="黑体" w:eastAsia="黑体"/>
      <w:kern w:val="44"/>
      <w:sz w:val="32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tabs>
        <w:tab w:val="left" w:pos="1418"/>
      </w:tabs>
      <w:spacing w:line="413" w:lineRule="auto"/>
      <w:ind w:firstLine="643" w:firstLineChars="200"/>
      <w:jc w:val="left"/>
      <w:outlineLvl w:val="1"/>
    </w:pPr>
    <w:rPr>
      <w:rFonts w:ascii="楷体_GB2312" w:hAnsi="仿宋_GB2312" w:eastAsia="楷体_GB2312"/>
      <w:b/>
      <w:sz w:val="32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spacing w:line="413" w:lineRule="auto"/>
      <w:ind w:left="1418" w:hanging="567"/>
      <w:outlineLvl w:val="2"/>
    </w:pPr>
    <w:rPr>
      <w:b/>
      <w:sz w:val="32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unhideWhenUsed/>
    <w:uiPriority w:val="99"/>
    <w:tblPr>
      <w:tblStyle w:val="15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7"/>
    <w:unhideWhenUsed/>
    <w:qFormat/>
    <w:uiPriority w:val="99"/>
    <w:rPr>
      <w:rFonts w:ascii="Helvetica" w:hAnsi="Helvetica"/>
      <w:sz w:val="24"/>
      <w:szCs w:val="24"/>
    </w:rPr>
  </w:style>
  <w:style w:type="paragraph" w:styleId="6">
    <w:name w:val="annotation text"/>
    <w:basedOn w:val="1"/>
    <w:link w:val="28"/>
    <w:qFormat/>
    <w:uiPriority w:val="0"/>
    <w:pPr>
      <w:jc w:val="left"/>
    </w:pPr>
  </w:style>
  <w:style w:type="paragraph" w:styleId="7">
    <w:name w:val="Body Text"/>
    <w:basedOn w:val="1"/>
    <w:link w:val="29"/>
    <w:qFormat/>
    <w:uiPriority w:val="1"/>
    <w:pPr>
      <w:autoSpaceDE w:val="0"/>
      <w:autoSpaceDN w:val="0"/>
      <w:jc w:val="left"/>
    </w:pPr>
    <w:rPr>
      <w:rFonts w:ascii="Noto Sans Mono CJK JP Regular" w:hAnsi="Noto Sans Mono CJK JP Regular" w:eastAsia="Noto Sans Mono CJK JP Regular" w:cs="Noto Sans Mono CJK JP Regular"/>
      <w:kern w:val="0"/>
      <w:sz w:val="32"/>
      <w:szCs w:val="32"/>
      <w:lang w:eastAsia="en-US"/>
    </w:rPr>
  </w:style>
  <w:style w:type="paragraph" w:styleId="8">
    <w:name w:val="endnote text"/>
    <w:basedOn w:val="1"/>
    <w:link w:val="30"/>
    <w:unhideWhenUsed/>
    <w:qFormat/>
    <w:uiPriority w:val="99"/>
    <w:pPr>
      <w:snapToGrid w:val="0"/>
      <w:jc w:val="left"/>
    </w:pPr>
  </w:style>
  <w:style w:type="paragraph" w:styleId="9">
    <w:name w:val="Balloon Text"/>
    <w:basedOn w:val="1"/>
    <w:link w:val="31"/>
    <w:qFormat/>
    <w:uiPriority w:val="0"/>
    <w:rPr>
      <w:sz w:val="18"/>
    </w:rPr>
  </w:style>
  <w:style w:type="paragraph" w:styleId="10">
    <w:name w:val="footer"/>
    <w:basedOn w:val="1"/>
    <w:link w:val="3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footnote text"/>
    <w:basedOn w:val="1"/>
    <w:link w:val="34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2"/>
    </w:rPr>
  </w:style>
  <w:style w:type="paragraph" w:styleId="14">
    <w:name w:val="annotation subject"/>
    <w:basedOn w:val="6"/>
    <w:next w:val="6"/>
    <w:link w:val="35"/>
    <w:qFormat/>
    <w:uiPriority w:val="0"/>
    <w:rPr>
      <w:b/>
    </w:rPr>
  </w:style>
  <w:style w:type="table" w:styleId="16">
    <w:name w:val="Table Grid"/>
    <w:basedOn w:val="15"/>
    <w:qFormat/>
    <w:uiPriority w:val="59"/>
    <w:tblPr>
      <w:tblStyle w:val="1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qFormat/>
    <w:uiPriority w:val="0"/>
    <w:rPr>
      <w:b/>
    </w:rPr>
  </w:style>
  <w:style w:type="character" w:styleId="19">
    <w:name w:val="endnote reference"/>
    <w:unhideWhenUsed/>
    <w:qFormat/>
    <w:uiPriority w:val="99"/>
    <w:rPr>
      <w:vertAlign w:val="superscript"/>
    </w:rPr>
  </w:style>
  <w:style w:type="character" w:styleId="20">
    <w:name w:val="page number"/>
    <w:basedOn w:val="17"/>
    <w:unhideWhenUsed/>
    <w:qFormat/>
    <w:uiPriority w:val="99"/>
  </w:style>
  <w:style w:type="character" w:styleId="21">
    <w:name w:val="Emphasis"/>
    <w:qFormat/>
    <w:uiPriority w:val="0"/>
    <w:rPr>
      <w:i/>
    </w:rPr>
  </w:style>
  <w:style w:type="character" w:styleId="22">
    <w:name w:val="annotation reference"/>
    <w:qFormat/>
    <w:uiPriority w:val="0"/>
    <w:rPr>
      <w:sz w:val="21"/>
    </w:rPr>
  </w:style>
  <w:style w:type="character" w:styleId="23">
    <w:name w:val="footnote reference"/>
    <w:unhideWhenUsed/>
    <w:qFormat/>
    <w:uiPriority w:val="99"/>
    <w:rPr>
      <w:vertAlign w:val="superscript"/>
    </w:rPr>
  </w:style>
  <w:style w:type="character" w:customStyle="1" w:styleId="24">
    <w:name w:val="标题 1 字符"/>
    <w:link w:val="2"/>
    <w:qFormat/>
    <w:uiPriority w:val="0"/>
    <w:rPr>
      <w:rFonts w:ascii="黑体" w:hAnsi="黑体" w:eastAsia="黑体"/>
      <w:kern w:val="44"/>
      <w:sz w:val="32"/>
    </w:rPr>
  </w:style>
  <w:style w:type="character" w:customStyle="1" w:styleId="25">
    <w:name w:val="标题 2 字符"/>
    <w:link w:val="3"/>
    <w:qFormat/>
    <w:uiPriority w:val="0"/>
    <w:rPr>
      <w:rFonts w:ascii="楷体_GB2312" w:hAnsi="仿宋_GB2312" w:eastAsia="楷体_GB2312"/>
      <w:b/>
      <w:kern w:val="2"/>
      <w:sz w:val="32"/>
    </w:rPr>
  </w:style>
  <w:style w:type="character" w:customStyle="1" w:styleId="26">
    <w:name w:val="标题 3 字符"/>
    <w:link w:val="4"/>
    <w:qFormat/>
    <w:uiPriority w:val="0"/>
    <w:rPr>
      <w:b/>
      <w:kern w:val="2"/>
      <w:sz w:val="32"/>
    </w:rPr>
  </w:style>
  <w:style w:type="character" w:customStyle="1" w:styleId="27">
    <w:name w:val="文档结构图 字符"/>
    <w:link w:val="5"/>
    <w:semiHidden/>
    <w:qFormat/>
    <w:uiPriority w:val="99"/>
    <w:rPr>
      <w:rFonts w:ascii="Helvetica" w:hAnsi="Helvetica"/>
      <w:kern w:val="2"/>
      <w:sz w:val="24"/>
      <w:szCs w:val="24"/>
    </w:rPr>
  </w:style>
  <w:style w:type="character" w:customStyle="1" w:styleId="28">
    <w:name w:val="批注文字 字符"/>
    <w:link w:val="6"/>
    <w:qFormat/>
    <w:uiPriority w:val="0"/>
    <w:rPr>
      <w:kern w:val="2"/>
      <w:sz w:val="21"/>
    </w:rPr>
  </w:style>
  <w:style w:type="character" w:customStyle="1" w:styleId="29">
    <w:name w:val="正文文本 字符"/>
    <w:link w:val="7"/>
    <w:qFormat/>
    <w:uiPriority w:val="1"/>
    <w:rPr>
      <w:rFonts w:ascii="Noto Sans Mono CJK JP Regular" w:hAnsi="Noto Sans Mono CJK JP Regular" w:eastAsia="Noto Sans Mono CJK JP Regular" w:cs="Noto Sans Mono CJK JP Regular"/>
      <w:sz w:val="32"/>
      <w:szCs w:val="32"/>
      <w:lang w:eastAsia="en-US"/>
    </w:rPr>
  </w:style>
  <w:style w:type="character" w:customStyle="1" w:styleId="30">
    <w:name w:val="尾注文本 字符"/>
    <w:link w:val="8"/>
    <w:qFormat/>
    <w:uiPriority w:val="99"/>
    <w:rPr>
      <w:kern w:val="2"/>
      <w:sz w:val="21"/>
    </w:rPr>
  </w:style>
  <w:style w:type="character" w:customStyle="1" w:styleId="31">
    <w:name w:val="批注框文本 字符"/>
    <w:link w:val="9"/>
    <w:qFormat/>
    <w:uiPriority w:val="0"/>
    <w:rPr>
      <w:kern w:val="2"/>
      <w:sz w:val="18"/>
    </w:rPr>
  </w:style>
  <w:style w:type="character" w:customStyle="1" w:styleId="32">
    <w:name w:val="页脚 字符"/>
    <w:link w:val="10"/>
    <w:qFormat/>
    <w:uiPriority w:val="0"/>
    <w:rPr>
      <w:kern w:val="2"/>
      <w:sz w:val="18"/>
    </w:rPr>
  </w:style>
  <w:style w:type="character" w:customStyle="1" w:styleId="33">
    <w:name w:val="页眉 字符"/>
    <w:link w:val="11"/>
    <w:qFormat/>
    <w:uiPriority w:val="0"/>
    <w:rPr>
      <w:kern w:val="2"/>
      <w:sz w:val="18"/>
    </w:rPr>
  </w:style>
  <w:style w:type="character" w:customStyle="1" w:styleId="34">
    <w:name w:val="脚注文本 字符"/>
    <w:link w:val="12"/>
    <w:qFormat/>
    <w:uiPriority w:val="99"/>
    <w:rPr>
      <w:kern w:val="2"/>
      <w:sz w:val="18"/>
      <w:szCs w:val="18"/>
    </w:rPr>
  </w:style>
  <w:style w:type="character" w:customStyle="1" w:styleId="35">
    <w:name w:val="批注主题 字符"/>
    <w:link w:val="14"/>
    <w:qFormat/>
    <w:uiPriority w:val="0"/>
    <w:rPr>
      <w:b/>
      <w:kern w:val="2"/>
      <w:sz w:val="21"/>
    </w:rPr>
  </w:style>
  <w:style w:type="character" w:customStyle="1" w:styleId="36">
    <w:name w:val="标题 1 Char"/>
    <w:link w:val="2"/>
    <w:qFormat/>
    <w:uiPriority w:val="0"/>
    <w:rPr>
      <w:rFonts w:hint="eastAsia" w:ascii="宋体" w:hAnsi="宋体" w:eastAsia="黑体" w:cs="Times New Roman"/>
      <w:kern w:val="44"/>
      <w:szCs w:val="48"/>
    </w:rPr>
  </w:style>
  <w:style w:type="character" w:customStyle="1" w:styleId="37">
    <w:name w:val="纯文本 Char"/>
    <w:link w:val="38"/>
    <w:qFormat/>
    <w:uiPriority w:val="0"/>
    <w:rPr>
      <w:rFonts w:ascii="宋体" w:hAnsi="Courier New" w:eastAsia="宋体"/>
    </w:rPr>
  </w:style>
  <w:style w:type="paragraph" w:customStyle="1" w:styleId="38">
    <w:name w:val="纯文本1"/>
    <w:basedOn w:val="1"/>
    <w:link w:val="37"/>
    <w:qFormat/>
    <w:uiPriority w:val="0"/>
    <w:rPr>
      <w:rFonts w:ascii="宋体" w:hAnsi="Courier New"/>
      <w:kern w:val="0"/>
      <w:sz w:val="20"/>
    </w:rPr>
  </w:style>
  <w:style w:type="character" w:customStyle="1" w:styleId="39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0">
    <w:name w:val="页脚 Char"/>
    <w:link w:val="41"/>
    <w:qFormat/>
    <w:uiPriority w:val="0"/>
    <w:rPr>
      <w:rFonts w:ascii="Times New Roman" w:hAnsi="Times New Roman" w:eastAsia="宋体"/>
      <w:sz w:val="18"/>
    </w:rPr>
  </w:style>
  <w:style w:type="paragraph" w:customStyle="1" w:styleId="41">
    <w:name w:val="页脚1"/>
    <w:basedOn w:val="1"/>
    <w:link w:val="40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character" w:customStyle="1" w:styleId="42">
    <w:name w:val="页眉 Char"/>
    <w:link w:val="43"/>
    <w:qFormat/>
    <w:uiPriority w:val="0"/>
    <w:rPr>
      <w:rFonts w:ascii="Times New Roman" w:hAnsi="Times New Roman" w:eastAsia="宋体"/>
      <w:sz w:val="18"/>
    </w:rPr>
  </w:style>
  <w:style w:type="paragraph" w:customStyle="1" w:styleId="43">
    <w:name w:val="页眉1"/>
    <w:basedOn w:val="1"/>
    <w:link w:val="4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character" w:customStyle="1" w:styleId="44">
    <w:name w:val="文档结构图 Char"/>
    <w:link w:val="45"/>
    <w:qFormat/>
    <w:uiPriority w:val="0"/>
    <w:rPr>
      <w:rFonts w:ascii="宋体" w:hAnsi="Times New Roman" w:eastAsia="宋体"/>
      <w:sz w:val="18"/>
    </w:rPr>
  </w:style>
  <w:style w:type="paragraph" w:customStyle="1" w:styleId="45">
    <w:name w:val="文档结构图1"/>
    <w:basedOn w:val="1"/>
    <w:link w:val="44"/>
    <w:qFormat/>
    <w:uiPriority w:val="0"/>
    <w:rPr>
      <w:rFonts w:ascii="宋体"/>
      <w:kern w:val="0"/>
      <w:sz w:val="18"/>
    </w:rPr>
  </w:style>
  <w:style w:type="character" w:customStyle="1" w:styleId="46">
    <w:name w:val="文档结构图 Char1"/>
    <w:link w:val="47"/>
    <w:qFormat/>
    <w:uiPriority w:val="0"/>
    <w:rPr>
      <w:rFonts w:ascii="宋体"/>
      <w:kern w:val="2"/>
      <w:sz w:val="18"/>
    </w:rPr>
  </w:style>
  <w:style w:type="paragraph" w:customStyle="1" w:styleId="47">
    <w:name w:val="文档结构图2"/>
    <w:basedOn w:val="1"/>
    <w:link w:val="46"/>
    <w:qFormat/>
    <w:uiPriority w:val="0"/>
    <w:rPr>
      <w:rFonts w:ascii="宋体"/>
      <w:sz w:val="18"/>
    </w:rPr>
  </w:style>
  <w:style w:type="character" w:customStyle="1" w:styleId="48">
    <w:name w:val="标题 Char"/>
    <w:link w:val="49"/>
    <w:qFormat/>
    <w:uiPriority w:val="0"/>
    <w:rPr>
      <w:rFonts w:ascii="黑体" w:hAnsi="黑体" w:eastAsia="黑体"/>
      <w:b/>
      <w:sz w:val="36"/>
    </w:rPr>
  </w:style>
  <w:style w:type="paragraph" w:customStyle="1" w:styleId="49">
    <w:name w:val="标题1"/>
    <w:basedOn w:val="1"/>
    <w:next w:val="1"/>
    <w:link w:val="48"/>
    <w:qFormat/>
    <w:uiPriority w:val="0"/>
    <w:pPr>
      <w:spacing w:before="240" w:after="60"/>
      <w:jc w:val="center"/>
      <w:outlineLvl w:val="0"/>
    </w:pPr>
    <w:rPr>
      <w:rFonts w:ascii="黑体" w:hAnsi="黑体" w:eastAsia="黑体"/>
      <w:b/>
      <w:kern w:val="0"/>
      <w:sz w:val="36"/>
    </w:rPr>
  </w:style>
  <w:style w:type="character" w:customStyle="1" w:styleId="50">
    <w:name w:val="文档结构图 Char2"/>
    <w:link w:val="51"/>
    <w:qFormat/>
    <w:uiPriority w:val="0"/>
    <w:rPr>
      <w:rFonts w:ascii="宋体"/>
      <w:kern w:val="2"/>
      <w:sz w:val="18"/>
    </w:rPr>
  </w:style>
  <w:style w:type="paragraph" w:customStyle="1" w:styleId="51">
    <w:name w:val="文档结构图 1"/>
    <w:basedOn w:val="1"/>
    <w:link w:val="50"/>
    <w:qFormat/>
    <w:uiPriority w:val="0"/>
    <w:rPr>
      <w:rFonts w:ascii="宋体"/>
      <w:sz w:val="18"/>
    </w:rPr>
  </w:style>
  <w:style w:type="character" w:customStyle="1" w:styleId="52">
    <w:name w:val="批注主题 Char"/>
    <w:link w:val="53"/>
    <w:qFormat/>
    <w:uiPriority w:val="0"/>
    <w:rPr>
      <w:b/>
      <w:kern w:val="2"/>
      <w:sz w:val="21"/>
    </w:rPr>
  </w:style>
  <w:style w:type="paragraph" w:customStyle="1" w:styleId="53">
    <w:name w:val="批注主题1"/>
    <w:basedOn w:val="54"/>
    <w:next w:val="54"/>
    <w:link w:val="52"/>
    <w:qFormat/>
    <w:uiPriority w:val="0"/>
    <w:rPr>
      <w:b/>
    </w:rPr>
  </w:style>
  <w:style w:type="paragraph" w:customStyle="1" w:styleId="54">
    <w:name w:val="注释文本1"/>
    <w:basedOn w:val="1"/>
    <w:link w:val="55"/>
    <w:qFormat/>
    <w:uiPriority w:val="0"/>
    <w:pPr>
      <w:jc w:val="left"/>
    </w:pPr>
  </w:style>
  <w:style w:type="character" w:customStyle="1" w:styleId="55">
    <w:name w:val="批注文字 Char"/>
    <w:link w:val="54"/>
    <w:qFormat/>
    <w:uiPriority w:val="0"/>
    <w:rPr>
      <w:kern w:val="2"/>
      <w:sz w:val="21"/>
    </w:rPr>
  </w:style>
  <w:style w:type="character" w:customStyle="1" w:styleId="56">
    <w:name w:val="批注框文本 Char Char Char Char"/>
    <w:link w:val="57"/>
    <w:qFormat/>
    <w:uiPriority w:val="0"/>
    <w:rPr>
      <w:kern w:val="2"/>
      <w:sz w:val="18"/>
    </w:rPr>
  </w:style>
  <w:style w:type="paragraph" w:customStyle="1" w:styleId="57">
    <w:name w:val="批注框文本 Char Char"/>
    <w:basedOn w:val="1"/>
    <w:link w:val="56"/>
    <w:qFormat/>
    <w:uiPriority w:val="0"/>
    <w:rPr>
      <w:sz w:val="18"/>
    </w:rPr>
  </w:style>
  <w:style w:type="character" w:customStyle="1" w:styleId="58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9">
    <w:name w:val="批注框文本 Char"/>
    <w:link w:val="60"/>
    <w:qFormat/>
    <w:uiPriority w:val="0"/>
    <w:rPr>
      <w:kern w:val="2"/>
      <w:sz w:val="18"/>
    </w:rPr>
  </w:style>
  <w:style w:type="paragraph" w:customStyle="1" w:styleId="60">
    <w:name w:val="批注框文本1"/>
    <w:basedOn w:val="1"/>
    <w:link w:val="59"/>
    <w:qFormat/>
    <w:uiPriority w:val="0"/>
    <w:rPr>
      <w:sz w:val="18"/>
    </w:rPr>
  </w:style>
  <w:style w:type="character" w:customStyle="1" w:styleId="61">
    <w:name w:val="占位符文本1"/>
    <w:qFormat/>
    <w:uiPriority w:val="0"/>
    <w:rPr>
      <w:color w:val="808080"/>
    </w:rPr>
  </w:style>
  <w:style w:type="character" w:customStyle="1" w:styleId="62">
    <w:name w:val="font31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63">
    <w:name w:val="页码1"/>
    <w:basedOn w:val="17"/>
    <w:qFormat/>
    <w:uiPriority w:val="0"/>
  </w:style>
  <w:style w:type="character" w:customStyle="1" w:styleId="64">
    <w:name w:val="批注引用1"/>
    <w:qFormat/>
    <w:uiPriority w:val="0"/>
    <w:rPr>
      <w:sz w:val="21"/>
    </w:rPr>
  </w:style>
  <w:style w:type="paragraph" w:customStyle="1" w:styleId="65">
    <w:name w:val="Char Char Char Char Char Char Char Char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66">
    <w:name w:val="列出段落3"/>
    <w:basedOn w:val="1"/>
    <w:qFormat/>
    <w:uiPriority w:val="0"/>
    <w:pPr>
      <w:ind w:firstLine="420" w:firstLineChars="200"/>
    </w:pPr>
  </w:style>
  <w:style w:type="paragraph" w:customStyle="1" w:styleId="67">
    <w:name w:val="列出段落4"/>
    <w:basedOn w:val="1"/>
    <w:qFormat/>
    <w:uiPriority w:val="0"/>
    <w:pPr>
      <w:ind w:firstLine="420" w:firstLineChars="200"/>
    </w:pPr>
  </w:style>
  <w:style w:type="paragraph" w:customStyle="1" w:styleId="68">
    <w:name w:val="无间隔1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customStyle="1" w:styleId="69">
    <w:name w:val="列出段落2"/>
    <w:basedOn w:val="1"/>
    <w:qFormat/>
    <w:uiPriority w:val="0"/>
    <w:pPr>
      <w:ind w:firstLine="420" w:firstLineChars="200"/>
    </w:pPr>
  </w:style>
  <w:style w:type="paragraph" w:customStyle="1" w:styleId="70">
    <w:name w:val="修订1"/>
    <w:qFormat/>
    <w:uiPriority w:val="0"/>
    <w:rPr>
      <w:kern w:val="2"/>
      <w:sz w:val="21"/>
      <w:lang w:val="en-US" w:eastAsia="zh-CN" w:bidi="ar-SA"/>
    </w:rPr>
  </w:style>
  <w:style w:type="paragraph" w:customStyle="1" w:styleId="7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eastAsia="Arial Unicode MS"/>
      <w:color w:val="000000"/>
      <w:sz w:val="24"/>
      <w:lang w:val="en-US" w:eastAsia="zh-CN" w:bidi="ar-SA"/>
    </w:rPr>
  </w:style>
  <w:style w:type="paragraph" w:customStyle="1" w:styleId="72">
    <w:name w:val="列出段落1"/>
    <w:basedOn w:val="1"/>
    <w:qFormat/>
    <w:uiPriority w:val="0"/>
    <w:pPr>
      <w:ind w:firstLine="420" w:firstLineChars="200"/>
    </w:pPr>
    <w:rPr>
      <w:rFonts w:ascii="Calibri" w:hAnsi="Calibri"/>
      <w:sz w:val="24"/>
    </w:rPr>
  </w:style>
  <w:style w:type="paragraph" w:customStyle="1" w:styleId="73">
    <w:name w:val="修订2"/>
    <w:qFormat/>
    <w:uiPriority w:val="0"/>
    <w:rPr>
      <w:kern w:val="2"/>
      <w:sz w:val="21"/>
      <w:lang w:val="en-US" w:eastAsia="zh-CN" w:bidi="ar-SA"/>
    </w:rPr>
  </w:style>
  <w:style w:type="paragraph" w:customStyle="1" w:styleId="74">
    <w:name w:val="_Style 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75">
    <w:name w:val="列出段落5"/>
    <w:basedOn w:val="1"/>
    <w:qFormat/>
    <w:uiPriority w:val="99"/>
    <w:pPr>
      <w:ind w:firstLine="420" w:firstLineChars="200"/>
    </w:pPr>
  </w:style>
  <w:style w:type="paragraph" w:customStyle="1" w:styleId="76">
    <w:name w:val="p0"/>
    <w:basedOn w:val="1"/>
    <w:qFormat/>
    <w:uiPriority w:val="0"/>
    <w:pPr>
      <w:widowControl/>
    </w:pPr>
    <w:rPr>
      <w:kern w:val="0"/>
    </w:rPr>
  </w:style>
  <w:style w:type="paragraph" w:customStyle="1" w:styleId="77">
    <w:name w:val="_Style 48"/>
    <w:basedOn w:val="1"/>
    <w:qFormat/>
    <w:uiPriority w:val="34"/>
    <w:pPr>
      <w:ind w:firstLine="420" w:firstLineChars="200"/>
    </w:pPr>
  </w:style>
  <w:style w:type="paragraph" w:customStyle="1" w:styleId="78">
    <w:name w:val="Table Paragraph"/>
    <w:basedOn w:val="1"/>
    <w:qFormat/>
    <w:uiPriority w:val="1"/>
    <w:pPr>
      <w:autoSpaceDE w:val="0"/>
      <w:autoSpaceDN w:val="0"/>
      <w:jc w:val="left"/>
    </w:pPr>
    <w:rPr>
      <w:rFonts w:ascii="Noto Sans Mono CJK JP Regular" w:hAnsi="Noto Sans Mono CJK JP Regular" w:eastAsia="Noto Sans Mono CJK JP Regular" w:cs="Noto Sans Mono CJK JP Regular"/>
      <w:kern w:val="0"/>
      <w:sz w:val="22"/>
      <w:szCs w:val="22"/>
      <w:lang w:eastAsia="en-US"/>
    </w:rPr>
  </w:style>
  <w:style w:type="paragraph" w:customStyle="1" w:styleId="79">
    <w:name w:val="列出段落1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80">
    <w:name w:val="Char Char Char Char Char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81">
    <w:name w:val="修订版本号1"/>
    <w:qFormat/>
    <w:uiPriority w:val="0"/>
    <w:rPr>
      <w:kern w:val="2"/>
      <w:sz w:val="21"/>
      <w:lang w:val="en-US" w:eastAsia="zh-CN" w:bidi="ar-SA"/>
    </w:rPr>
  </w:style>
  <w:style w:type="table" w:customStyle="1" w:styleId="82">
    <w:name w:val="Table Normal"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 w:bidi="ar-SA"/>
    </w:rPr>
    <w:tblPr>
      <w:tblStyle w:val="15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header" Target="header6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3072"/>
    <customShpInfo spid="_x0000_s3073"/>
    <customShpInfo spid="_x0000_s3074"/>
    <customShpInfo spid="_x0000_s3075"/>
    <customShpInfo spid="_x0000_s3095" textRotate="1"/>
    <customShpInfo spid="_x0000_s3096"/>
    <customShpInfo spid="_x0000_s3101"/>
    <customShpInfo spid="_x0000_s3102"/>
    <customShpInfo spid="_x0000_s3084"/>
    <customShpInfo spid="_x0000_s3085"/>
    <customShpInfo spid="_x0000_s308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3221</Words>
  <Characters>3303</Characters>
  <Lines>16</Lines>
  <Paragraphs>4</Paragraphs>
  <TotalTime>34.6666666666667</TotalTime>
  <ScaleCrop>false</ScaleCrop>
  <LinksUpToDate>false</LinksUpToDate>
  <CharactersWithSpaces>3453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2020-06-28T00:49:00Z</dcterms:created>
  <dc:creator>CESI</dc:creator>
  <cp:lastModifiedBy>柒</cp:lastModifiedBy>
  <cp:lastPrinted>2025-07-04T21:50:48Z</cp:lastPrinted>
  <dcterms:modified xsi:type="dcterms:W3CDTF">2025-07-31T02:37:44Z</dcterms:modified>
  <dc:title>工信部联节〔2019〕 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12B8E90EBA9D46998D38C97A438DA8D2_13</vt:lpwstr>
  </property>
  <property fmtid="{D5CDD505-2E9C-101B-9397-08002B2CF9AE}" pid="4" name="KSOTemplateDocerSaveRecord">
    <vt:lpwstr>eyJoZGlkIjoiY2RkNzRlZTE4ODY2ZTM5ZTkxMjUwZTU3MmZiZmE2NGQiLCJ1c2VySWQiOiI0MzIyMzg4MDMifQ==</vt:lpwstr>
  </property>
</Properties>
</file>