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482F5E">
      <w:pPr>
        <w:widowControl/>
        <w:jc w:val="left"/>
        <w:rPr>
          <w:rFonts w:ascii="Times New Roman" w:hAnsi="Times New Roman" w:eastAsia="黑体" w:cs="Times New Roman"/>
          <w:sz w:val="32"/>
          <w:szCs w:val="32"/>
        </w:rPr>
      </w:pPr>
      <w:bookmarkStart w:id="0" w:name="_GoBack"/>
      <w:bookmarkEnd w:id="0"/>
      <w:r>
        <w:rPr>
          <w:rFonts w:ascii="Times New Roman" w:hAnsi="Times New Roman" w:eastAsia="黑体" w:cs="Times New Roman"/>
          <w:sz w:val="32"/>
          <w:szCs w:val="32"/>
        </w:rPr>
        <w:t>附件1</w:t>
      </w:r>
    </w:p>
    <w:p w14:paraId="391B52A0">
      <w:pPr>
        <w:jc w:val="center"/>
        <w:rPr>
          <w:rFonts w:ascii="Times New Roman" w:hAnsi="Times New Roman" w:eastAsia="方正小标宋简体" w:cs="Times New Roman"/>
          <w:b w:val="0"/>
          <w:bCs w:val="0"/>
          <w:sz w:val="36"/>
          <w:szCs w:val="36"/>
        </w:rPr>
      </w:pPr>
      <w:r>
        <w:rPr>
          <w:rFonts w:ascii="Times New Roman" w:hAnsi="Times New Roman" w:eastAsia="方正小标宋简体" w:cs="Times New Roman"/>
          <w:b w:val="0"/>
          <w:bCs w:val="0"/>
          <w:sz w:val="36"/>
          <w:szCs w:val="36"/>
        </w:rPr>
        <w:t>表1 省级工业设计中心（企业工业设计中心）</w:t>
      </w:r>
    </w:p>
    <w:p w14:paraId="65097DFC">
      <w:pPr>
        <w:jc w:val="center"/>
        <w:rPr>
          <w:rFonts w:ascii="Times New Roman" w:hAnsi="Times New Roman" w:eastAsia="方正小标宋简体" w:cs="Times New Roman"/>
          <w:b w:val="0"/>
          <w:bCs w:val="0"/>
          <w:color w:val="FF0000"/>
          <w:sz w:val="36"/>
          <w:szCs w:val="36"/>
        </w:rPr>
      </w:pPr>
      <w:r>
        <w:rPr>
          <w:rFonts w:ascii="Times New Roman" w:hAnsi="Times New Roman" w:eastAsia="方正小标宋简体" w:cs="Times New Roman"/>
          <w:b w:val="0"/>
          <w:bCs w:val="0"/>
          <w:sz w:val="36"/>
          <w:szCs w:val="36"/>
        </w:rPr>
        <w:t>主要评价指标</w:t>
      </w:r>
    </w:p>
    <w:tbl>
      <w:tblPr>
        <w:tblStyle w:val="3"/>
        <w:tblW w:w="97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447"/>
        <w:gridCol w:w="6573"/>
        <w:gridCol w:w="873"/>
      </w:tblGrid>
      <w:tr w14:paraId="5F06A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14:paraId="5309F7A8">
            <w:pPr>
              <w:widowControl/>
              <w:jc w:val="center"/>
              <w:rPr>
                <w:rFonts w:ascii="Times New Roman" w:hAnsi="Times New Roman" w:eastAsia="仿宋" w:cs="Times New Roman"/>
                <w:sz w:val="24"/>
                <w:szCs w:val="24"/>
              </w:rPr>
            </w:pPr>
            <w:r>
              <w:rPr>
                <w:rFonts w:ascii="Times New Roman" w:hAnsi="Times New Roman" w:eastAsia="仿宋" w:cs="Times New Roman"/>
                <w:sz w:val="24"/>
                <w:szCs w:val="24"/>
              </w:rPr>
              <w:t>序号</w:t>
            </w:r>
          </w:p>
        </w:tc>
        <w:tc>
          <w:tcPr>
            <w:tcW w:w="1447" w:type="dxa"/>
            <w:noWrap w:val="0"/>
            <w:vAlign w:val="center"/>
          </w:tcPr>
          <w:p w14:paraId="388DD8F8">
            <w:pPr>
              <w:widowControl/>
              <w:jc w:val="center"/>
              <w:rPr>
                <w:rFonts w:ascii="Times New Roman" w:hAnsi="Times New Roman" w:eastAsia="仿宋" w:cs="Times New Roman"/>
                <w:sz w:val="24"/>
                <w:szCs w:val="24"/>
              </w:rPr>
            </w:pPr>
            <w:r>
              <w:rPr>
                <w:rFonts w:ascii="Times New Roman" w:hAnsi="Times New Roman" w:eastAsia="仿宋" w:cs="Times New Roman"/>
                <w:sz w:val="24"/>
                <w:szCs w:val="24"/>
              </w:rPr>
              <w:t>指标名称</w:t>
            </w:r>
          </w:p>
        </w:tc>
        <w:tc>
          <w:tcPr>
            <w:tcW w:w="6573" w:type="dxa"/>
            <w:noWrap w:val="0"/>
            <w:vAlign w:val="center"/>
          </w:tcPr>
          <w:p w14:paraId="1A6AD9F8">
            <w:pPr>
              <w:widowControl/>
              <w:jc w:val="center"/>
              <w:rPr>
                <w:rFonts w:ascii="Times New Roman" w:hAnsi="Times New Roman" w:eastAsia="仿宋" w:cs="Times New Roman"/>
                <w:sz w:val="24"/>
                <w:szCs w:val="24"/>
              </w:rPr>
            </w:pPr>
            <w:r>
              <w:rPr>
                <w:rFonts w:ascii="Times New Roman" w:hAnsi="Times New Roman" w:eastAsia="仿宋" w:cs="Times New Roman"/>
                <w:sz w:val="24"/>
                <w:szCs w:val="24"/>
              </w:rPr>
              <w:t>指标内容</w:t>
            </w:r>
          </w:p>
        </w:tc>
        <w:tc>
          <w:tcPr>
            <w:tcW w:w="873" w:type="dxa"/>
            <w:noWrap w:val="0"/>
            <w:vAlign w:val="center"/>
          </w:tcPr>
          <w:p w14:paraId="09916A43">
            <w:pPr>
              <w:widowControl/>
              <w:jc w:val="center"/>
              <w:rPr>
                <w:rFonts w:ascii="Times New Roman" w:hAnsi="Times New Roman" w:eastAsia="仿宋" w:cs="Times New Roman"/>
                <w:sz w:val="24"/>
                <w:szCs w:val="24"/>
              </w:rPr>
            </w:pPr>
            <w:r>
              <w:rPr>
                <w:rFonts w:ascii="Times New Roman" w:hAnsi="Times New Roman" w:eastAsia="仿宋" w:cs="Times New Roman"/>
                <w:sz w:val="24"/>
                <w:szCs w:val="24"/>
              </w:rPr>
              <w:t>权重</w:t>
            </w:r>
          </w:p>
        </w:tc>
      </w:tr>
      <w:tr w14:paraId="4F7FA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14:paraId="70207B0F">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c>
          <w:tcPr>
            <w:tcW w:w="1447" w:type="dxa"/>
            <w:noWrap w:val="0"/>
            <w:vAlign w:val="center"/>
          </w:tcPr>
          <w:p w14:paraId="238133C2">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设计费用投入及占比</w:t>
            </w:r>
          </w:p>
        </w:tc>
        <w:tc>
          <w:tcPr>
            <w:tcW w:w="6573" w:type="dxa"/>
            <w:noWrap w:val="0"/>
            <w:vAlign w:val="center"/>
          </w:tcPr>
          <w:p w14:paraId="7BAD9B92">
            <w:pPr>
              <w:widowControl/>
              <w:adjustRightInd w:val="0"/>
              <w:snapToGrid w:val="0"/>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近三年有稳定持续的设计费用投入，设计费用投入占研发设计投入总额的比重。</w:t>
            </w:r>
          </w:p>
        </w:tc>
        <w:tc>
          <w:tcPr>
            <w:tcW w:w="873" w:type="dxa"/>
            <w:noWrap w:val="0"/>
            <w:vAlign w:val="center"/>
          </w:tcPr>
          <w:p w14:paraId="11669375">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20%</w:t>
            </w:r>
          </w:p>
        </w:tc>
      </w:tr>
      <w:tr w14:paraId="5E569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14:paraId="4CC14A7D">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c>
          <w:tcPr>
            <w:tcW w:w="1447" w:type="dxa"/>
            <w:noWrap w:val="0"/>
            <w:vAlign w:val="center"/>
          </w:tcPr>
          <w:p w14:paraId="17972E5F">
            <w:pPr>
              <w:widowControl/>
              <w:adjustRightInd w:val="0"/>
              <w:snapToGrid w:val="0"/>
              <w:spacing w:line="400" w:lineRule="exact"/>
              <w:jc w:val="both"/>
              <w:rPr>
                <w:rFonts w:ascii="Times New Roman" w:hAnsi="Times New Roman" w:eastAsia="仿宋" w:cs="Times New Roman"/>
                <w:sz w:val="24"/>
                <w:szCs w:val="24"/>
              </w:rPr>
            </w:pPr>
            <w:r>
              <w:rPr>
                <w:rFonts w:ascii="Times New Roman" w:hAnsi="Times New Roman" w:eastAsia="仿宋" w:cs="Times New Roman"/>
                <w:sz w:val="24"/>
                <w:szCs w:val="24"/>
              </w:rPr>
              <w:t>设计团队人员数量及素质</w:t>
            </w:r>
          </w:p>
        </w:tc>
        <w:tc>
          <w:tcPr>
            <w:tcW w:w="6573" w:type="dxa"/>
            <w:noWrap w:val="0"/>
            <w:vAlign w:val="center"/>
          </w:tcPr>
          <w:p w14:paraId="2F553E84">
            <w:pPr>
              <w:widowControl/>
              <w:adjustRightInd w:val="0"/>
              <w:snapToGrid w:val="0"/>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设计人员数量，具有工业设计及相关学科大学本科及以上学历，或取得相关专业技术职称（职业资格）的人员比例。</w:t>
            </w:r>
          </w:p>
          <w:p w14:paraId="2A6CC640">
            <w:pPr>
              <w:widowControl/>
              <w:adjustRightInd w:val="0"/>
              <w:snapToGrid w:val="0"/>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此项需满足的基本要求：团队从业人员应达到20人以上，其中具有有工业设计及相关学科大学本科及以上学历或具有工业设计专业技术职称〔职业资格〕的人员占比不低于 50%。</w:t>
            </w:r>
          </w:p>
        </w:tc>
        <w:tc>
          <w:tcPr>
            <w:tcW w:w="873" w:type="dxa"/>
            <w:noWrap w:val="0"/>
            <w:vAlign w:val="center"/>
          </w:tcPr>
          <w:p w14:paraId="39D9C722">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20%</w:t>
            </w:r>
          </w:p>
        </w:tc>
      </w:tr>
      <w:tr w14:paraId="6EB81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14:paraId="1FE6ADD6">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3</w:t>
            </w:r>
          </w:p>
        </w:tc>
        <w:tc>
          <w:tcPr>
            <w:tcW w:w="1447" w:type="dxa"/>
            <w:noWrap w:val="0"/>
            <w:vAlign w:val="center"/>
          </w:tcPr>
          <w:p w14:paraId="6661872F">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完成项目数量及质量</w:t>
            </w:r>
          </w:p>
        </w:tc>
        <w:tc>
          <w:tcPr>
            <w:tcW w:w="6573" w:type="dxa"/>
            <w:noWrap w:val="0"/>
            <w:vAlign w:val="center"/>
          </w:tcPr>
          <w:p w14:paraId="1D5D1CAC">
            <w:pPr>
              <w:widowControl/>
              <w:adjustRightInd w:val="0"/>
              <w:snapToGrid w:val="0"/>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近三年完成的设计任务项目数量及质量，参与地市级以上科技重大专项、重点研发计划、课题研究等项目数量及质量，获得地市级以上政府批准举办或省级以上行业组织举办的设计大赛、评选等工业设计专业奖项数量。</w:t>
            </w:r>
          </w:p>
        </w:tc>
        <w:tc>
          <w:tcPr>
            <w:tcW w:w="873" w:type="dxa"/>
            <w:noWrap w:val="0"/>
            <w:vAlign w:val="center"/>
          </w:tcPr>
          <w:p w14:paraId="61DC1772">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20%</w:t>
            </w:r>
          </w:p>
        </w:tc>
      </w:tr>
      <w:tr w14:paraId="7FC30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14:paraId="4F6F64A8">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4</w:t>
            </w:r>
          </w:p>
        </w:tc>
        <w:tc>
          <w:tcPr>
            <w:tcW w:w="1447" w:type="dxa"/>
            <w:noWrap w:val="0"/>
            <w:vAlign w:val="center"/>
          </w:tcPr>
          <w:p w14:paraId="2610C473">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成果产业化</w:t>
            </w:r>
          </w:p>
        </w:tc>
        <w:tc>
          <w:tcPr>
            <w:tcW w:w="6573" w:type="dxa"/>
            <w:noWrap w:val="0"/>
            <w:vAlign w:val="center"/>
          </w:tcPr>
          <w:p w14:paraId="34CFD911">
            <w:pPr>
              <w:widowControl/>
              <w:adjustRightInd w:val="0"/>
              <w:snapToGrid w:val="0"/>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近三年产出一批优秀设计成果，成果产业化带来显著的经济效益和社会效益。</w:t>
            </w:r>
          </w:p>
        </w:tc>
        <w:tc>
          <w:tcPr>
            <w:tcW w:w="873" w:type="dxa"/>
            <w:noWrap w:val="0"/>
            <w:vAlign w:val="center"/>
          </w:tcPr>
          <w:p w14:paraId="4F366D75">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15%</w:t>
            </w:r>
          </w:p>
        </w:tc>
      </w:tr>
      <w:tr w14:paraId="427D7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14:paraId="5CEEAC5B">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5</w:t>
            </w:r>
          </w:p>
        </w:tc>
        <w:tc>
          <w:tcPr>
            <w:tcW w:w="1447" w:type="dxa"/>
            <w:noWrap w:val="0"/>
            <w:vAlign w:val="center"/>
          </w:tcPr>
          <w:p w14:paraId="70CC3652">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知识产权</w:t>
            </w:r>
          </w:p>
        </w:tc>
        <w:tc>
          <w:tcPr>
            <w:tcW w:w="6573" w:type="dxa"/>
            <w:noWrap w:val="0"/>
            <w:vAlign w:val="center"/>
          </w:tcPr>
          <w:p w14:paraId="603F3992">
            <w:pPr>
              <w:widowControl/>
              <w:adjustRightInd w:val="0"/>
              <w:snapToGrid w:val="0"/>
              <w:spacing w:line="400" w:lineRule="exact"/>
              <w:jc w:val="left"/>
              <w:rPr>
                <w:rFonts w:ascii="Times New Roman" w:hAnsi="Times New Roman" w:eastAsia="仿宋" w:cs="Times New Roman"/>
                <w:sz w:val="24"/>
                <w:szCs w:val="24"/>
              </w:rPr>
            </w:pPr>
            <w:r>
              <w:rPr>
                <w:rFonts w:ascii="Times New Roman" w:hAnsi="Times New Roman" w:eastAsia="仿宋" w:cs="Times New Roman"/>
                <w:sz w:val="24"/>
                <w:szCs w:val="24"/>
              </w:rPr>
              <w:t>近三年获得国内外专利及版权年均数量或成立以来累计获得国内外专利及版权数量。</w:t>
            </w:r>
          </w:p>
          <w:p w14:paraId="63F9CEA3">
            <w:pPr>
              <w:widowControl/>
              <w:adjustRightInd w:val="0"/>
              <w:snapToGrid w:val="0"/>
              <w:spacing w:line="400" w:lineRule="exact"/>
              <w:jc w:val="left"/>
              <w:rPr>
                <w:rFonts w:ascii="Times New Roman" w:hAnsi="Times New Roman" w:eastAsia="仿宋" w:cs="Times New Roman"/>
                <w:sz w:val="24"/>
                <w:szCs w:val="24"/>
              </w:rPr>
            </w:pPr>
            <w:r>
              <w:rPr>
                <w:rFonts w:ascii="Times New Roman" w:hAnsi="Times New Roman" w:eastAsia="仿宋" w:cs="Times New Roman"/>
                <w:sz w:val="24"/>
                <w:szCs w:val="24"/>
              </w:rPr>
              <w:t>此项需满足的基本要求：近三年获得国内外专利及版权累计达到15项以上或成立以来累计40项以上。</w:t>
            </w:r>
          </w:p>
        </w:tc>
        <w:tc>
          <w:tcPr>
            <w:tcW w:w="873" w:type="dxa"/>
            <w:noWrap w:val="0"/>
            <w:vAlign w:val="center"/>
          </w:tcPr>
          <w:p w14:paraId="2E1525F5">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15%</w:t>
            </w:r>
          </w:p>
        </w:tc>
      </w:tr>
      <w:tr w14:paraId="13379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14:paraId="662D8110">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6</w:t>
            </w:r>
          </w:p>
        </w:tc>
        <w:tc>
          <w:tcPr>
            <w:tcW w:w="1447" w:type="dxa"/>
            <w:noWrap w:val="0"/>
            <w:vAlign w:val="center"/>
          </w:tcPr>
          <w:p w14:paraId="62EAF548">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制定标准</w:t>
            </w:r>
          </w:p>
          <w:p w14:paraId="1E5AB0B6">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数量</w:t>
            </w:r>
          </w:p>
        </w:tc>
        <w:tc>
          <w:tcPr>
            <w:tcW w:w="6573" w:type="dxa"/>
            <w:noWrap w:val="0"/>
            <w:vAlign w:val="center"/>
          </w:tcPr>
          <w:p w14:paraId="5DDB641F">
            <w:pPr>
              <w:widowControl/>
              <w:adjustRightInd w:val="0"/>
              <w:snapToGrid w:val="0"/>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近三年牵头或参与制定国际、国家、行业、团体等标准情况。</w:t>
            </w:r>
          </w:p>
        </w:tc>
        <w:tc>
          <w:tcPr>
            <w:tcW w:w="873" w:type="dxa"/>
            <w:noWrap w:val="0"/>
            <w:vAlign w:val="center"/>
          </w:tcPr>
          <w:p w14:paraId="03CCDA3E">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10%</w:t>
            </w:r>
          </w:p>
        </w:tc>
      </w:tr>
      <w:tr w14:paraId="6CCD1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14:paraId="219F33DC">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7</w:t>
            </w:r>
          </w:p>
        </w:tc>
        <w:tc>
          <w:tcPr>
            <w:tcW w:w="1447" w:type="dxa"/>
            <w:noWrap w:val="0"/>
            <w:vAlign w:val="center"/>
          </w:tcPr>
          <w:p w14:paraId="6741A5D8">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加分项</w:t>
            </w:r>
          </w:p>
        </w:tc>
        <w:tc>
          <w:tcPr>
            <w:tcW w:w="6573" w:type="dxa"/>
            <w:noWrap w:val="0"/>
            <w:vAlign w:val="center"/>
          </w:tcPr>
          <w:p w14:paraId="3008480D">
            <w:pPr>
              <w:widowControl/>
              <w:adjustRightInd w:val="0"/>
              <w:snapToGrid w:val="0"/>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近三年组织或参与省内外工业设计重要活动，承担或参与市级以上工业设计课题研究数量，与中小企业开展工业设计项目合作，为中小企业提供工业设计咨询服务，获得省级以上经济和信息化部门示范认定等情况。</w:t>
            </w:r>
          </w:p>
        </w:tc>
        <w:tc>
          <w:tcPr>
            <w:tcW w:w="873" w:type="dxa"/>
            <w:noWrap w:val="0"/>
            <w:vAlign w:val="center"/>
          </w:tcPr>
          <w:p w14:paraId="74D6521A">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10%</w:t>
            </w:r>
          </w:p>
        </w:tc>
      </w:tr>
    </w:tbl>
    <w:p w14:paraId="5C13419E">
      <w:pPr>
        <w:rPr>
          <w:rFonts w:ascii="Times New Roman" w:hAnsi="Times New Roman" w:eastAsia="仿宋" w:cs="Times New Roman"/>
        </w:rPr>
      </w:pPr>
    </w:p>
    <w:p w14:paraId="613FCBC7">
      <w:pPr>
        <w:jc w:val="center"/>
        <w:rPr>
          <w:rFonts w:ascii="Times New Roman" w:hAnsi="Times New Roman" w:eastAsia="方正小标宋简体" w:cs="Times New Roman"/>
          <w:sz w:val="36"/>
          <w:szCs w:val="36"/>
        </w:rPr>
      </w:pPr>
    </w:p>
    <w:p w14:paraId="3E91BBD6">
      <w:pPr>
        <w:jc w:val="center"/>
        <w:rPr>
          <w:rFonts w:ascii="Times New Roman" w:hAnsi="Times New Roman" w:eastAsia="方正小标宋简体" w:cs="Times New Roman"/>
          <w:sz w:val="36"/>
          <w:szCs w:val="36"/>
        </w:rPr>
      </w:pPr>
    </w:p>
    <w:p w14:paraId="547FEF46">
      <w:pPr>
        <w:jc w:val="center"/>
        <w:rPr>
          <w:rFonts w:ascii="Times New Roman" w:hAnsi="Times New Roman" w:eastAsia="方正小标宋简体" w:cs="Times New Roman"/>
          <w:sz w:val="36"/>
          <w:szCs w:val="36"/>
        </w:rPr>
      </w:pPr>
      <w:r>
        <w:rPr>
          <w:rFonts w:ascii="Times New Roman" w:hAnsi="Times New Roman" w:eastAsia="方正小标宋简体" w:cs="Times New Roman"/>
          <w:sz w:val="36"/>
          <w:szCs w:val="36"/>
        </w:rPr>
        <w:t>表2 省级工业设计中心（工业设计企业）</w:t>
      </w:r>
    </w:p>
    <w:p w14:paraId="312EF754">
      <w:pPr>
        <w:jc w:val="center"/>
        <w:rPr>
          <w:rFonts w:ascii="Times New Roman" w:hAnsi="Times New Roman" w:eastAsia="方正小标宋简体" w:cs="Times New Roman"/>
          <w:sz w:val="36"/>
          <w:szCs w:val="36"/>
        </w:rPr>
      </w:pPr>
      <w:r>
        <w:rPr>
          <w:rFonts w:ascii="Times New Roman" w:hAnsi="Times New Roman" w:eastAsia="方正小标宋简体" w:cs="Times New Roman"/>
          <w:sz w:val="36"/>
          <w:szCs w:val="36"/>
        </w:rPr>
        <w:t>主要评价指标</w:t>
      </w:r>
    </w:p>
    <w:tbl>
      <w:tblPr>
        <w:tblStyle w:val="3"/>
        <w:tblW w:w="9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18"/>
        <w:gridCol w:w="5702"/>
        <w:gridCol w:w="1568"/>
      </w:tblGrid>
      <w:tr w14:paraId="615D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14:paraId="2FAB54A1">
            <w:pPr>
              <w:widowControl/>
              <w:jc w:val="center"/>
              <w:rPr>
                <w:rFonts w:ascii="Times New Roman" w:hAnsi="Times New Roman" w:eastAsia="仿宋" w:cs="Times New Roman"/>
                <w:sz w:val="24"/>
                <w:szCs w:val="24"/>
              </w:rPr>
            </w:pPr>
            <w:r>
              <w:rPr>
                <w:rFonts w:ascii="Times New Roman" w:hAnsi="Times New Roman" w:eastAsia="仿宋" w:cs="Times New Roman"/>
                <w:sz w:val="24"/>
                <w:szCs w:val="24"/>
              </w:rPr>
              <w:t>序号</w:t>
            </w:r>
          </w:p>
        </w:tc>
        <w:tc>
          <w:tcPr>
            <w:tcW w:w="1418" w:type="dxa"/>
            <w:noWrap w:val="0"/>
            <w:vAlign w:val="center"/>
          </w:tcPr>
          <w:p w14:paraId="637E7234">
            <w:pPr>
              <w:widowControl/>
              <w:jc w:val="center"/>
              <w:rPr>
                <w:rFonts w:ascii="Times New Roman" w:hAnsi="Times New Roman" w:eastAsia="仿宋" w:cs="Times New Roman"/>
                <w:sz w:val="24"/>
                <w:szCs w:val="24"/>
              </w:rPr>
            </w:pPr>
            <w:r>
              <w:rPr>
                <w:rFonts w:ascii="Times New Roman" w:hAnsi="Times New Roman" w:eastAsia="仿宋" w:cs="Times New Roman"/>
                <w:sz w:val="24"/>
                <w:szCs w:val="24"/>
              </w:rPr>
              <w:t>指标名称</w:t>
            </w:r>
          </w:p>
        </w:tc>
        <w:tc>
          <w:tcPr>
            <w:tcW w:w="5702" w:type="dxa"/>
            <w:noWrap w:val="0"/>
            <w:vAlign w:val="center"/>
          </w:tcPr>
          <w:p w14:paraId="6942AB15">
            <w:pPr>
              <w:widowControl/>
              <w:jc w:val="center"/>
              <w:rPr>
                <w:rFonts w:ascii="Times New Roman" w:hAnsi="Times New Roman" w:eastAsia="仿宋" w:cs="Times New Roman"/>
                <w:sz w:val="24"/>
                <w:szCs w:val="24"/>
              </w:rPr>
            </w:pPr>
            <w:r>
              <w:rPr>
                <w:rFonts w:ascii="Times New Roman" w:hAnsi="Times New Roman" w:eastAsia="仿宋" w:cs="Times New Roman"/>
                <w:sz w:val="24"/>
                <w:szCs w:val="24"/>
              </w:rPr>
              <w:t>指标内容</w:t>
            </w:r>
          </w:p>
        </w:tc>
        <w:tc>
          <w:tcPr>
            <w:tcW w:w="1568" w:type="dxa"/>
            <w:noWrap w:val="0"/>
            <w:vAlign w:val="center"/>
          </w:tcPr>
          <w:p w14:paraId="47EC2E24">
            <w:pPr>
              <w:widowControl/>
              <w:jc w:val="center"/>
              <w:rPr>
                <w:rFonts w:ascii="Times New Roman" w:hAnsi="Times New Roman" w:eastAsia="仿宋" w:cs="Times New Roman"/>
                <w:sz w:val="24"/>
                <w:szCs w:val="24"/>
              </w:rPr>
            </w:pPr>
            <w:r>
              <w:rPr>
                <w:rFonts w:ascii="Times New Roman" w:hAnsi="Times New Roman" w:eastAsia="仿宋" w:cs="Times New Roman"/>
                <w:sz w:val="24"/>
                <w:szCs w:val="24"/>
              </w:rPr>
              <w:t>权重</w:t>
            </w:r>
          </w:p>
        </w:tc>
      </w:tr>
      <w:tr w14:paraId="31617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14:paraId="496CA79E">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c>
          <w:tcPr>
            <w:tcW w:w="1418" w:type="dxa"/>
            <w:noWrap w:val="0"/>
            <w:vAlign w:val="center"/>
          </w:tcPr>
          <w:p w14:paraId="42D4B086">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设计费用投入及占比</w:t>
            </w:r>
          </w:p>
        </w:tc>
        <w:tc>
          <w:tcPr>
            <w:tcW w:w="5702" w:type="dxa"/>
            <w:noWrap w:val="0"/>
            <w:vAlign w:val="center"/>
          </w:tcPr>
          <w:p w14:paraId="0D93AEAB">
            <w:pPr>
              <w:widowControl/>
              <w:adjustRightInd w:val="0"/>
              <w:snapToGrid w:val="0"/>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近三年有稳定持续的设计费用投入，设计费用投入占研发设计投入总额的比重。</w:t>
            </w:r>
          </w:p>
        </w:tc>
        <w:tc>
          <w:tcPr>
            <w:tcW w:w="1568" w:type="dxa"/>
            <w:noWrap w:val="0"/>
            <w:vAlign w:val="center"/>
          </w:tcPr>
          <w:p w14:paraId="184D4094">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20%</w:t>
            </w:r>
          </w:p>
        </w:tc>
      </w:tr>
      <w:tr w14:paraId="395BB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14:paraId="0CFB2DEA">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w:t>
            </w:r>
          </w:p>
        </w:tc>
        <w:tc>
          <w:tcPr>
            <w:tcW w:w="1418" w:type="dxa"/>
            <w:noWrap w:val="0"/>
            <w:vAlign w:val="center"/>
          </w:tcPr>
          <w:p w14:paraId="59D39A08">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设计团队人员数量及素质</w:t>
            </w:r>
          </w:p>
        </w:tc>
        <w:tc>
          <w:tcPr>
            <w:tcW w:w="5702" w:type="dxa"/>
            <w:noWrap w:val="0"/>
            <w:vAlign w:val="center"/>
          </w:tcPr>
          <w:p w14:paraId="074284F7">
            <w:pPr>
              <w:widowControl/>
              <w:adjustRightInd w:val="0"/>
              <w:snapToGrid w:val="0"/>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设计人员数量，具有工业设计及相关学科大学本科及以上学历，或取得相关专业技术职称（职业资格）的人员比例。</w:t>
            </w:r>
          </w:p>
          <w:p w14:paraId="2E37EF8E">
            <w:pPr>
              <w:widowControl/>
              <w:adjustRightInd w:val="0"/>
              <w:snapToGrid w:val="0"/>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此项需满足的基本要求：设计从业人员20人以上，其中具有工业设计及相关学科大学本科及以上学历或取得工业设计专业技术职称的人员比例合计不低于50%。</w:t>
            </w:r>
          </w:p>
        </w:tc>
        <w:tc>
          <w:tcPr>
            <w:tcW w:w="1568" w:type="dxa"/>
            <w:noWrap w:val="0"/>
            <w:vAlign w:val="center"/>
          </w:tcPr>
          <w:p w14:paraId="2228ADB3">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20%</w:t>
            </w:r>
          </w:p>
        </w:tc>
      </w:tr>
      <w:tr w14:paraId="1EB08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14:paraId="221B16F7">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3</w:t>
            </w:r>
          </w:p>
        </w:tc>
        <w:tc>
          <w:tcPr>
            <w:tcW w:w="1418" w:type="dxa"/>
            <w:noWrap w:val="0"/>
            <w:vAlign w:val="center"/>
          </w:tcPr>
          <w:p w14:paraId="62FD8D91">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完成项目数量及质量</w:t>
            </w:r>
          </w:p>
        </w:tc>
        <w:tc>
          <w:tcPr>
            <w:tcW w:w="5702" w:type="dxa"/>
            <w:noWrap w:val="0"/>
            <w:vAlign w:val="center"/>
          </w:tcPr>
          <w:p w14:paraId="39F712AB">
            <w:pPr>
              <w:widowControl/>
              <w:adjustRightInd w:val="0"/>
              <w:snapToGrid w:val="0"/>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近三年服务工业企业完成的设计项目数量及质量，获得地市级以上政府批准举办或省级以上行业组织举办的设计大赛、评选等工业设计专业奖项数量。</w:t>
            </w:r>
          </w:p>
        </w:tc>
        <w:tc>
          <w:tcPr>
            <w:tcW w:w="1568" w:type="dxa"/>
            <w:noWrap w:val="0"/>
            <w:vAlign w:val="center"/>
          </w:tcPr>
          <w:p w14:paraId="56A0B7F0">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20%</w:t>
            </w:r>
          </w:p>
        </w:tc>
      </w:tr>
      <w:tr w14:paraId="4C7CA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14:paraId="52199CBF">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4</w:t>
            </w:r>
          </w:p>
        </w:tc>
        <w:tc>
          <w:tcPr>
            <w:tcW w:w="1418" w:type="dxa"/>
            <w:noWrap w:val="0"/>
            <w:vAlign w:val="center"/>
          </w:tcPr>
          <w:p w14:paraId="24E59133">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业务规模</w:t>
            </w:r>
          </w:p>
        </w:tc>
        <w:tc>
          <w:tcPr>
            <w:tcW w:w="5702" w:type="dxa"/>
            <w:noWrap w:val="0"/>
            <w:vAlign w:val="center"/>
          </w:tcPr>
          <w:p w14:paraId="71FF0735">
            <w:pPr>
              <w:widowControl/>
              <w:adjustRightInd w:val="0"/>
              <w:snapToGrid w:val="0"/>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近三年工业设计服务营业收入情况，以及占企业总营业收入的比例。</w:t>
            </w:r>
          </w:p>
          <w:p w14:paraId="2F36504B">
            <w:pPr>
              <w:widowControl/>
              <w:adjustRightInd w:val="0"/>
              <w:snapToGrid w:val="0"/>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此项需满足的基本要求：近三年工业设计服务年均营业收入不低于400万元，占企业总营业收入的比例不低于 50%。</w:t>
            </w:r>
          </w:p>
        </w:tc>
        <w:tc>
          <w:tcPr>
            <w:tcW w:w="1568" w:type="dxa"/>
            <w:noWrap w:val="0"/>
            <w:vAlign w:val="center"/>
          </w:tcPr>
          <w:p w14:paraId="2C795433">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20%</w:t>
            </w:r>
          </w:p>
        </w:tc>
      </w:tr>
      <w:tr w14:paraId="50A75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14:paraId="50294EF9">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5</w:t>
            </w:r>
          </w:p>
        </w:tc>
        <w:tc>
          <w:tcPr>
            <w:tcW w:w="1418" w:type="dxa"/>
            <w:noWrap w:val="0"/>
            <w:vAlign w:val="center"/>
          </w:tcPr>
          <w:p w14:paraId="515F83EE">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经营质量</w:t>
            </w:r>
          </w:p>
        </w:tc>
        <w:tc>
          <w:tcPr>
            <w:tcW w:w="5702" w:type="dxa"/>
            <w:noWrap w:val="0"/>
            <w:vAlign w:val="center"/>
          </w:tcPr>
          <w:p w14:paraId="72E7C788">
            <w:pPr>
              <w:widowControl/>
              <w:adjustRightInd w:val="0"/>
              <w:snapToGrid w:val="0"/>
              <w:spacing w:line="400" w:lineRule="exact"/>
              <w:jc w:val="left"/>
              <w:rPr>
                <w:rFonts w:ascii="Times New Roman" w:hAnsi="Times New Roman" w:eastAsia="仿宋" w:cs="Times New Roman"/>
                <w:sz w:val="24"/>
                <w:szCs w:val="24"/>
              </w:rPr>
            </w:pPr>
            <w:r>
              <w:rPr>
                <w:rFonts w:ascii="Times New Roman" w:hAnsi="Times New Roman" w:eastAsia="仿宋" w:cs="Times New Roman"/>
                <w:sz w:val="24"/>
                <w:szCs w:val="24"/>
              </w:rPr>
              <w:t>近三年企业资产负债、净利润、现金流量等财务指标状况。</w:t>
            </w:r>
          </w:p>
        </w:tc>
        <w:tc>
          <w:tcPr>
            <w:tcW w:w="1568" w:type="dxa"/>
            <w:noWrap w:val="0"/>
            <w:vAlign w:val="center"/>
          </w:tcPr>
          <w:p w14:paraId="694B766E">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10%</w:t>
            </w:r>
          </w:p>
        </w:tc>
      </w:tr>
      <w:tr w14:paraId="75876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14:paraId="70899AD0">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6</w:t>
            </w:r>
          </w:p>
        </w:tc>
        <w:tc>
          <w:tcPr>
            <w:tcW w:w="1418" w:type="dxa"/>
            <w:noWrap w:val="0"/>
            <w:vAlign w:val="center"/>
          </w:tcPr>
          <w:p w14:paraId="1F2960AA">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管理水平</w:t>
            </w:r>
          </w:p>
        </w:tc>
        <w:tc>
          <w:tcPr>
            <w:tcW w:w="5702" w:type="dxa"/>
            <w:noWrap w:val="0"/>
            <w:vAlign w:val="center"/>
          </w:tcPr>
          <w:p w14:paraId="3FD88790">
            <w:pPr>
              <w:widowControl/>
              <w:adjustRightInd w:val="0"/>
              <w:snapToGrid w:val="0"/>
              <w:spacing w:line="400" w:lineRule="exact"/>
              <w:jc w:val="left"/>
              <w:rPr>
                <w:rFonts w:ascii="Times New Roman" w:hAnsi="Times New Roman" w:eastAsia="仿宋" w:cs="Times New Roman"/>
                <w:sz w:val="24"/>
                <w:szCs w:val="24"/>
              </w:rPr>
            </w:pPr>
            <w:r>
              <w:rPr>
                <w:rFonts w:ascii="Times New Roman" w:hAnsi="Times New Roman" w:eastAsia="仿宋" w:cs="Times New Roman"/>
                <w:sz w:val="24"/>
                <w:szCs w:val="24"/>
              </w:rPr>
              <w:t>有健全的企业管理、知识产权保护等制度以及明确的发展规划，并得到有效执行。</w:t>
            </w:r>
          </w:p>
        </w:tc>
        <w:tc>
          <w:tcPr>
            <w:tcW w:w="1568" w:type="dxa"/>
            <w:noWrap w:val="0"/>
            <w:vAlign w:val="center"/>
          </w:tcPr>
          <w:p w14:paraId="486B6757">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10%</w:t>
            </w:r>
          </w:p>
        </w:tc>
      </w:tr>
      <w:tr w14:paraId="7EDB3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14:paraId="7F265692">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7</w:t>
            </w:r>
          </w:p>
        </w:tc>
        <w:tc>
          <w:tcPr>
            <w:tcW w:w="1418" w:type="dxa"/>
            <w:noWrap w:val="0"/>
            <w:vAlign w:val="center"/>
          </w:tcPr>
          <w:p w14:paraId="42114F56">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加分项</w:t>
            </w:r>
          </w:p>
        </w:tc>
        <w:tc>
          <w:tcPr>
            <w:tcW w:w="5702" w:type="dxa"/>
            <w:noWrap w:val="0"/>
            <w:vAlign w:val="center"/>
          </w:tcPr>
          <w:p w14:paraId="56CB2B28">
            <w:pPr>
              <w:widowControl/>
              <w:adjustRightInd w:val="0"/>
              <w:snapToGrid w:val="0"/>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近三年组织或参与省内外工业设计重要活动，承担或参与市级以上工业设计课题研究数量，获得省级以上经济和信息化部门示范认定等情况。</w:t>
            </w:r>
          </w:p>
        </w:tc>
        <w:tc>
          <w:tcPr>
            <w:tcW w:w="1568" w:type="dxa"/>
            <w:noWrap w:val="0"/>
            <w:vAlign w:val="center"/>
          </w:tcPr>
          <w:p w14:paraId="442550C4">
            <w:pPr>
              <w:widowControl/>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10%</w:t>
            </w:r>
          </w:p>
        </w:tc>
      </w:tr>
    </w:tbl>
    <w:p w14:paraId="202738F2">
      <w:pPr>
        <w:rPr>
          <w:rFonts w:ascii="Times New Roman" w:hAnsi="Times New Roman" w:eastAsia="仿宋" w:cs="Times New Roman"/>
          <w:sz w:val="24"/>
          <w:szCs w:val="24"/>
        </w:rPr>
      </w:pPr>
    </w:p>
    <w:p w14:paraId="2CB1D440">
      <w:pPr>
        <w:rPr>
          <w:rFonts w:ascii="Times New Roman" w:hAnsi="Times New Roman" w:eastAsia="仿宋" w:cs="Times New Roman"/>
          <w:sz w:val="24"/>
          <w:szCs w:val="24"/>
        </w:rPr>
      </w:pPr>
      <w:r>
        <w:rPr>
          <w:rFonts w:ascii="Times New Roman" w:hAnsi="Times New Roman" w:eastAsia="仿宋" w:cs="Times New Roman"/>
          <w:sz w:val="24"/>
          <w:szCs w:val="24"/>
        </w:rPr>
        <w:t>说明：</w:t>
      </w:r>
    </w:p>
    <w:p w14:paraId="71FEEC30">
      <w:pPr>
        <w:ind w:firstLine="480" w:firstLineChars="200"/>
        <w:rPr>
          <w:rFonts w:ascii="Times New Roman" w:hAnsi="Times New Roman" w:eastAsia="仿宋" w:cs="Times New Roman"/>
          <w:sz w:val="24"/>
          <w:szCs w:val="24"/>
        </w:rPr>
      </w:pPr>
      <w:r>
        <w:rPr>
          <w:rFonts w:ascii="Times New Roman" w:hAnsi="Times New Roman" w:eastAsia="仿宋" w:cs="Times New Roman"/>
          <w:sz w:val="24"/>
          <w:szCs w:val="24"/>
        </w:rPr>
        <w:t>1.企业工业设计中心认定和复核评价指标参照表1，工业设计企业认定和复核评价指标参照表2。</w:t>
      </w:r>
    </w:p>
    <w:p w14:paraId="5139AA84">
      <w:pPr>
        <w:ind w:firstLine="480" w:firstLineChars="200"/>
        <w:rPr>
          <w:rFonts w:ascii="Times New Roman" w:hAnsi="Times New Roman" w:eastAsia="仿宋" w:cs="Times New Roman"/>
          <w:sz w:val="24"/>
          <w:szCs w:val="24"/>
        </w:rPr>
      </w:pPr>
      <w:r>
        <w:rPr>
          <w:rFonts w:ascii="Times New Roman" w:hAnsi="Times New Roman" w:eastAsia="仿宋" w:cs="Times New Roman"/>
          <w:sz w:val="24"/>
          <w:szCs w:val="24"/>
        </w:rPr>
        <w:t>2.开展湖北省省级工业设计中心评审时，根据评价指标制定评分细则。</w:t>
      </w:r>
    </w:p>
    <w:p w14:paraId="3A05793E">
      <w:pPr>
        <w:ind w:firstLine="480" w:firstLineChars="200"/>
        <w:rPr>
          <w:rFonts w:ascii="Times New Roman" w:hAnsi="Times New Roman" w:eastAsia="仿宋" w:cs="Times New Roman"/>
          <w:sz w:val="24"/>
          <w:szCs w:val="24"/>
        </w:rPr>
      </w:pPr>
    </w:p>
    <w:p w14:paraId="045F96A7">
      <w:pPr>
        <w:ind w:firstLine="480" w:firstLineChars="200"/>
        <w:rPr>
          <w:rFonts w:ascii="Times New Roman" w:hAnsi="Times New Roman" w:eastAsia="仿宋" w:cs="Times New Roman"/>
          <w:sz w:val="24"/>
          <w:szCs w:val="24"/>
        </w:rPr>
      </w:pPr>
      <w:r>
        <w:rPr>
          <w:rFonts w:ascii="Times New Roman" w:hAnsi="Times New Roman" w:eastAsia="仿宋" w:cs="Times New Roman"/>
          <w:sz w:val="24"/>
          <w:szCs w:val="24"/>
        </w:rPr>
        <w:t>3.所称设计费用指参照《企业会计准则》规定，用于工业设计人员工资、奖金、津贴等的人工费用；与工业设计相关的市场咨询、样品试制、检验检测等直接投入费用；工业设计相关的设备折旧费用、无形资产摊销费用；其它与工业设计直接相关的费用。</w:t>
      </w:r>
    </w:p>
    <w:p w14:paraId="42831E91">
      <w:pPr>
        <w:ind w:firstLine="480" w:firstLineChars="200"/>
        <w:rPr>
          <w:rFonts w:ascii="Times New Roman" w:hAnsi="Times New Roman" w:eastAsia="仿宋" w:cs="Times New Roman"/>
          <w:sz w:val="24"/>
          <w:szCs w:val="24"/>
        </w:rPr>
      </w:pPr>
      <w:r>
        <w:rPr>
          <w:rFonts w:ascii="Times New Roman" w:hAnsi="Times New Roman" w:eastAsia="仿宋" w:cs="Times New Roman"/>
          <w:sz w:val="24"/>
          <w:szCs w:val="24"/>
        </w:rPr>
        <w:t>4.所称工业设计及相关学科指《普通高等学校本科专业目录（2024年版）》所列之艺术学设计学类相关专业，工学机械类机械设计制造及其自动化、工业设计、智能交互设计等专业；《研究生教育学科专业目录（2022 年）》所列之艺术学设计类相关专业、交叉学科设计学相关专业。</w:t>
      </w:r>
    </w:p>
    <w:p w14:paraId="2C61BBF0">
      <w:pPr>
        <w:ind w:firstLine="480" w:firstLineChars="200"/>
        <w:rPr>
          <w:rFonts w:ascii="Times New Roman" w:hAnsi="Times New Roman" w:eastAsia="仿宋" w:cs="Times New Roman"/>
          <w:sz w:val="24"/>
          <w:szCs w:val="24"/>
        </w:rPr>
      </w:pPr>
      <w:r>
        <w:rPr>
          <w:rFonts w:ascii="Times New Roman" w:hAnsi="Times New Roman" w:eastAsia="仿宋" w:cs="Times New Roman"/>
          <w:sz w:val="24"/>
          <w:szCs w:val="24"/>
        </w:rPr>
        <w:t>5.所称工业设计专业奖项指由政府行业主管部门设立的评比、竞赛和评奖。</w:t>
      </w:r>
    </w:p>
    <w:p w14:paraId="5DC1F442">
      <w:pPr>
        <w:ind w:firstLine="480" w:firstLineChars="200"/>
        <w:rPr>
          <w:rFonts w:ascii="Times New Roman" w:hAnsi="Times New Roman" w:eastAsia="仿宋" w:cs="Times New Roman"/>
          <w:sz w:val="24"/>
          <w:szCs w:val="24"/>
        </w:rPr>
      </w:pPr>
      <w:r>
        <w:rPr>
          <w:rFonts w:ascii="Times New Roman" w:hAnsi="Times New Roman" w:eastAsia="仿宋" w:cs="Times New Roman"/>
          <w:sz w:val="24"/>
          <w:szCs w:val="24"/>
        </w:rPr>
        <w:t>6.所称知识产权包括获得授权的专利（含外观、实用新型、发明专利）和经登记的版权（含产品设计图纸及其说明、设计造型图像等）。</w:t>
      </w:r>
    </w:p>
    <w:p w14:paraId="4F65CD6A">
      <w:pPr>
        <w:ind w:firstLine="480" w:firstLineChars="200"/>
        <w:rPr>
          <w:rFonts w:ascii="Times New Roman" w:hAnsi="Times New Roman" w:eastAsia="仿宋" w:cs="Times New Roman"/>
          <w:sz w:val="24"/>
          <w:szCs w:val="24"/>
        </w:rPr>
      </w:pPr>
      <w:r>
        <w:rPr>
          <w:rFonts w:ascii="Times New Roman" w:hAnsi="Times New Roman" w:eastAsia="仿宋" w:cs="Times New Roman"/>
          <w:sz w:val="24"/>
          <w:szCs w:val="24"/>
        </w:rPr>
        <w:t>7.所称设计标准指工业设计、产品设计直接相关的国家标准、行业标准、团体标准；设计相关技术规范是指通过市级以上主管部门或行业组织评定且实施的有关内容。</w:t>
      </w:r>
    </w:p>
    <w:p w14:paraId="2F3ECC29">
      <w:pPr>
        <w:ind w:firstLine="480" w:firstLineChars="200"/>
      </w:pPr>
      <w:r>
        <w:rPr>
          <w:rFonts w:ascii="Times New Roman" w:hAnsi="Times New Roman" w:eastAsia="仿宋" w:cs="Times New Roman"/>
          <w:sz w:val="24"/>
          <w:szCs w:val="24"/>
        </w:rPr>
        <w:t>8.所称工业设计重要活动包括：省级以上行业主管部门重要活动中工业设计类子活动；市级人民政府主办的工业设计会议、论坛、评奖、设计周等活动。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iMmJjMGUyMDNhMGI0MjllZTc4OTE3ODRjOTBjMWQifQ=="/>
  </w:docVars>
  <w:rsids>
    <w:rsidRoot w:val="177B5FE2"/>
    <w:rsid w:val="177B5FE2"/>
    <w:rsid w:val="4504019C"/>
    <w:rsid w:val="74B83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1659</Words>
  <Characters>1713</Characters>
  <Lines>0</Lines>
  <Paragraphs>0</Paragraphs>
  <TotalTime>0</TotalTime>
  <ScaleCrop>false</ScaleCrop>
  <LinksUpToDate>false</LinksUpToDate>
  <CharactersWithSpaces>1718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2024-08-12T06:56:00Z</dcterms:created>
  <dc:creator>晚安</dc:creator>
  <cp:lastModifiedBy>晚安</cp:lastModifiedBy>
  <dcterms:modified xsi:type="dcterms:W3CDTF">2024-08-12T06:57:50Z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7EE0477C43544FABA3AC3613FCBD7BC0_13</vt:lpwstr>
  </property>
</Properties>
</file>