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560" w:lineRule="exact"/>
        <w:ind w:right="-20" w:rightChars="0"/>
        <w:jc w:val="left"/>
        <w:textAlignment w:val="auto"/>
        <w:rPr>
          <w:rFonts w:hint="eastAsia" w:ascii="黑体" w:hAnsi="黑体" w:eastAsia="黑体" w:cs="黑体"/>
          <w:kern w:val="0"/>
          <w:sz w:val="32"/>
          <w:szCs w:val="32"/>
          <w:lang w:val="en-US" w:eastAsia="zh-CN"/>
        </w:rPr>
      </w:pPr>
      <w:bookmarkStart w:id="0" w:name="_GoBack"/>
      <w:bookmarkEnd w:id="0"/>
      <w:r>
        <w:rPr>
          <w:rFonts w:hint="eastAsia" w:ascii="黑体" w:hAnsi="黑体" w:eastAsia="黑体" w:cs="黑体"/>
          <w:kern w:val="0"/>
          <w:sz w:val="32"/>
          <w:szCs w:val="32"/>
          <w:lang w:eastAsia="zh-CN"/>
        </w:rPr>
        <w:t>附件</w:t>
      </w:r>
      <w:r>
        <w:rPr>
          <w:rFonts w:hint="eastAsia" w:ascii="黑体" w:hAnsi="黑体" w:eastAsia="黑体" w:cs="黑体"/>
          <w:kern w:val="0"/>
          <w:sz w:val="32"/>
          <w:szCs w:val="32"/>
          <w:lang w:val="en-US" w:eastAsia="zh-CN"/>
        </w:rPr>
        <w:t xml:space="preserve">2               </w:t>
      </w:r>
    </w:p>
    <w:p>
      <w:pPr>
        <w:pStyle w:val="10"/>
        <w:keepNext w:val="0"/>
        <w:keepLines w:val="0"/>
        <w:pageBreakBefore w:val="0"/>
        <w:widowControl w:val="0"/>
        <w:kinsoku/>
        <w:wordWrap/>
        <w:overflowPunct/>
        <w:topLinePunct w:val="0"/>
        <w:autoSpaceDE/>
        <w:autoSpaceDN/>
        <w:bidi w:val="0"/>
        <w:adjustRightInd/>
        <w:snapToGrid w:val="0"/>
        <w:spacing w:line="560" w:lineRule="exact"/>
        <w:ind w:leftChars="0"/>
        <w:jc w:val="center"/>
        <w:textAlignment w:val="auto"/>
        <w:rPr>
          <w:rFonts w:hint="eastAsia"/>
          <w:lang w:eastAsia="zh-CN"/>
        </w:rPr>
      </w:pPr>
      <w:r>
        <w:rPr>
          <w:rFonts w:hint="eastAsia" w:cs="方正小标宋_GBK"/>
          <w:lang w:val="en-US" w:eastAsia="zh-CN"/>
        </w:rPr>
        <w:t>守重企业</w:t>
      </w:r>
      <w:r>
        <w:rPr>
          <w:rFonts w:hint="eastAsia" w:ascii="方正小标宋_GBK" w:hAnsi="方正小标宋_GBK" w:eastAsia="方正小标宋_GBK" w:cs="方正小标宋_GBK"/>
          <w:lang w:val="en-US" w:eastAsia="zh-Hans"/>
        </w:rPr>
        <w:t>申报填写说明</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firstLine="420" w:firstLineChars="200"/>
        <w:textAlignment w:val="auto"/>
        <w:outlineLvl w:val="9"/>
        <w:rPr>
          <w:rFonts w:hint="eastAsia"/>
          <w:lang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firstLine="640" w:firstLineChars="200"/>
        <w:textAlignment w:val="auto"/>
        <w:outlineLvl w:val="9"/>
        <w:rPr>
          <w:rFonts w:hint="eastAsia"/>
          <w:sz w:val="32"/>
          <w:lang w:eastAsia="zh-CN"/>
        </w:rPr>
      </w:pPr>
      <w:r>
        <w:rPr>
          <w:rFonts w:hint="eastAsia"/>
          <w:sz w:val="32"/>
          <w:lang w:eastAsia="zh-CN"/>
        </w:rPr>
        <w:t>本申报表由企业自行填报，所填报的信息数据为公示年度内的信息数据。请认真阅读《承诺书》相关内容，由法定代表人签字，并加盖企业公章。</w:t>
      </w:r>
    </w:p>
    <w:p>
      <w:pPr>
        <w:keepNext w:val="0"/>
        <w:keepLines w:val="0"/>
        <w:pageBreakBefore w:val="0"/>
        <w:widowControl w:val="0"/>
        <w:kinsoku/>
        <w:wordWrap/>
        <w:overflowPunct/>
        <w:topLinePunct w:val="0"/>
        <w:bidi w:val="0"/>
        <w:snapToGrid w:val="0"/>
        <w:spacing w:line="560" w:lineRule="exact"/>
        <w:textAlignment w:val="auto"/>
        <w:rPr>
          <w:rFonts w:hint="eastAsia"/>
          <w:lang w:eastAsia="zh-CN"/>
        </w:rPr>
      </w:pP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leftChars="0" w:firstLine="640" w:firstLineChars="200"/>
        <w:textAlignment w:val="auto"/>
        <w:rPr>
          <w:rFonts w:hint="eastAsia"/>
          <w:sz w:val="32"/>
          <w:lang w:eastAsia="zh-CN"/>
        </w:rPr>
      </w:pPr>
      <w:r>
        <w:rPr>
          <w:rFonts w:hint="eastAsia"/>
          <w:sz w:val="32"/>
          <w:lang w:eastAsia="zh-CN"/>
        </w:rPr>
        <w:t>一、企业基本信息</w:t>
      </w:r>
    </w:p>
    <w:p>
      <w:pPr>
        <w:keepNext w:val="0"/>
        <w:keepLines w:val="0"/>
        <w:pageBreakBefore w:val="0"/>
        <w:widowControl w:val="0"/>
        <w:kinsoku/>
        <w:wordWrap/>
        <w:overflowPunct/>
        <w:topLinePunct w:val="0"/>
        <w:bidi w:val="0"/>
        <w:snapToGrid w:val="0"/>
        <w:spacing w:line="560" w:lineRule="exact"/>
        <w:ind w:firstLine="713"/>
        <w:textAlignment w:val="auto"/>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1.请按照企业法人营业执照的内容填写。</w:t>
      </w:r>
    </w:p>
    <w:p>
      <w:pPr>
        <w:keepNext w:val="0"/>
        <w:keepLines w:val="0"/>
        <w:pageBreakBefore w:val="0"/>
        <w:widowControl w:val="0"/>
        <w:kinsoku/>
        <w:wordWrap/>
        <w:overflowPunct/>
        <w:topLinePunct w:val="0"/>
        <w:bidi w:val="0"/>
        <w:snapToGrid w:val="0"/>
        <w:spacing w:line="560" w:lineRule="exact"/>
        <w:ind w:firstLine="713"/>
        <w:textAlignment w:val="auto"/>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2.企业划型（大、中、小、微型）：参见工信部联企业〔2011〕300号和国统字〔2017〕213号文件。</w:t>
      </w:r>
    </w:p>
    <w:p>
      <w:pPr>
        <w:widowControl/>
        <w:spacing w:line="330" w:lineRule="atLeast"/>
        <w:jc w:val="center"/>
        <w:rPr>
          <w:rFonts w:hint="eastAsia" w:ascii="方正小标宋_GBK" w:hAnsi="宋体" w:eastAsia="方正小标宋_GBK" w:cs="宋体"/>
          <w:color w:val="000000"/>
          <w:kern w:val="0"/>
          <w:sz w:val="36"/>
          <w:szCs w:val="32"/>
        </w:rPr>
      </w:pPr>
      <w:r>
        <w:rPr>
          <w:rFonts w:hint="eastAsia" w:ascii="方正小标宋_GBK" w:hAnsi="宋体" w:eastAsia="方正小标宋_GBK" w:cs="宋体"/>
          <w:color w:val="000000"/>
          <w:kern w:val="0"/>
          <w:sz w:val="36"/>
          <w:szCs w:val="32"/>
        </w:rPr>
        <w:t>大中小微型企业划分标准</w:t>
      </w:r>
    </w:p>
    <w:tbl>
      <w:tblPr>
        <w:tblStyle w:val="7"/>
        <w:tblW w:w="88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62"/>
        <w:gridCol w:w="1278"/>
        <w:gridCol w:w="941"/>
        <w:gridCol w:w="1179"/>
        <w:gridCol w:w="1475"/>
        <w:gridCol w:w="1390"/>
        <w:gridCol w:w="12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1362"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lang w:val="en-US" w:eastAsia="zh-CN" w:bidi="ar"/>
              </w:rPr>
              <w:t>行业名称</w:t>
            </w:r>
          </w:p>
        </w:tc>
        <w:tc>
          <w:tcPr>
            <w:tcW w:w="1278"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lang w:val="en-US" w:eastAsia="zh-CN" w:bidi="ar"/>
              </w:rPr>
              <w:t>指标名称</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lang w:val="en-US" w:eastAsia="zh-CN" w:bidi="ar"/>
              </w:rPr>
              <w:t>计量</w:t>
            </w:r>
          </w:p>
        </w:tc>
        <w:tc>
          <w:tcPr>
            <w:tcW w:w="1179"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lang w:val="en-US" w:eastAsia="zh-CN" w:bidi="ar"/>
              </w:rPr>
              <w:t>大型</w:t>
            </w:r>
          </w:p>
        </w:tc>
        <w:tc>
          <w:tcPr>
            <w:tcW w:w="147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lang w:val="en-US" w:eastAsia="zh-CN" w:bidi="ar"/>
              </w:rPr>
              <w:t>中型</w:t>
            </w:r>
          </w:p>
        </w:tc>
        <w:tc>
          <w:tcPr>
            <w:tcW w:w="139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lang w:val="en-US" w:eastAsia="zh-CN" w:bidi="ar"/>
              </w:rPr>
              <w:t>小型</w:t>
            </w:r>
          </w:p>
        </w:tc>
        <w:tc>
          <w:tcPr>
            <w:tcW w:w="125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黑体" w:hAnsi="黑体" w:eastAsia="黑体" w:cs="黑体"/>
                <w:b w:val="0"/>
                <w:bCs/>
                <w:i w:val="0"/>
                <w:color w:val="000000"/>
                <w:sz w:val="24"/>
                <w:szCs w:val="24"/>
                <w:u w:val="none"/>
              </w:rPr>
            </w:pPr>
            <w:r>
              <w:rPr>
                <w:rFonts w:hint="eastAsia" w:ascii="黑体" w:hAnsi="黑体" w:eastAsia="黑体" w:cs="黑体"/>
                <w:b w:val="0"/>
                <w:bCs/>
                <w:i w:val="0"/>
                <w:color w:val="000000"/>
                <w:kern w:val="0"/>
                <w:sz w:val="24"/>
                <w:szCs w:val="24"/>
                <w:u w:val="none"/>
                <w:lang w:val="en-US" w:eastAsia="zh-CN" w:bidi="ar"/>
              </w:rPr>
              <w:t>微型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136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b/>
                <w:i w:val="0"/>
                <w:color w:val="000000"/>
                <w:sz w:val="24"/>
                <w:szCs w:val="24"/>
                <w:u w:val="none"/>
              </w:rPr>
            </w:pPr>
          </w:p>
        </w:tc>
        <w:tc>
          <w:tcPr>
            <w:tcW w:w="127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b/>
                <w:i w:val="0"/>
                <w:color w:val="000000"/>
                <w:sz w:val="24"/>
                <w:szCs w:val="24"/>
                <w:u w:val="none"/>
              </w:rPr>
            </w:pP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4"/>
                <w:szCs w:val="24"/>
                <w:u w:val="none"/>
              </w:rPr>
            </w:pPr>
            <w:r>
              <w:rPr>
                <w:rFonts w:hint="eastAsia" w:ascii="黑体" w:hAnsi="黑体" w:eastAsia="黑体" w:cs="黑体"/>
                <w:b w:val="0"/>
                <w:bCs/>
                <w:i w:val="0"/>
                <w:color w:val="000000"/>
                <w:kern w:val="0"/>
                <w:sz w:val="24"/>
                <w:szCs w:val="24"/>
                <w:u w:val="none"/>
                <w:lang w:val="en-US" w:eastAsia="zh-CN" w:bidi="ar"/>
              </w:rPr>
              <w:t>单位</w:t>
            </w:r>
          </w:p>
        </w:tc>
        <w:tc>
          <w:tcPr>
            <w:tcW w:w="117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b/>
                <w:i w:val="0"/>
                <w:color w:val="000000"/>
                <w:sz w:val="24"/>
                <w:szCs w:val="24"/>
                <w:u w:val="none"/>
              </w:rPr>
            </w:pPr>
          </w:p>
        </w:tc>
        <w:tc>
          <w:tcPr>
            <w:tcW w:w="147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b/>
                <w:i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b/>
                <w:i w:val="0"/>
                <w:color w:val="000000"/>
                <w:sz w:val="24"/>
                <w:szCs w:val="24"/>
                <w:u w:val="none"/>
              </w:rPr>
            </w:pPr>
          </w:p>
        </w:tc>
        <w:tc>
          <w:tcPr>
            <w:tcW w:w="125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b/>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农、林、牧、渔业</w:t>
            </w: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营业收入(Y)</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Y≥20000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500≤Y＜20000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50≤Y＜500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工业 *</w:t>
            </w: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从业人员(X)</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人</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X≥1000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300≤X＜1000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20≤X＜300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i w:val="0"/>
                <w:color w:val="000000"/>
                <w:sz w:val="22"/>
                <w:szCs w:val="22"/>
                <w:u w:val="none"/>
              </w:rPr>
            </w:pP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营业收入(Y)</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Y≥40000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2000≤Y＜40000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300≤Y＜2000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建筑业</w:t>
            </w: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营业收入(Y)</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Y≥80000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6000≤Y＜80000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300≤Y＜6000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i w:val="0"/>
                <w:color w:val="000000"/>
                <w:sz w:val="22"/>
                <w:szCs w:val="22"/>
                <w:u w:val="none"/>
              </w:rPr>
            </w:pP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资产总额(Z)</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Z≥80000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5000≤Z＜80000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300≤Z＜5000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Z＜300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批发业</w:t>
            </w: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从业人员(X)</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人</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X≥200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20≤X＜200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5≤X＜20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i w:val="0"/>
                <w:color w:val="000000"/>
                <w:sz w:val="22"/>
                <w:szCs w:val="22"/>
                <w:u w:val="none"/>
              </w:rPr>
            </w:pP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营业收入(Y)</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Y≥40000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5000≤Y＜40000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1000≤Y＜5000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零售业</w:t>
            </w: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从业人员(X)</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人</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X≥300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50≤X＜300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10≤X＜50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i w:val="0"/>
                <w:color w:val="000000"/>
                <w:sz w:val="22"/>
                <w:szCs w:val="22"/>
                <w:u w:val="none"/>
              </w:rPr>
            </w:pP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营业收入(Y)</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Y≥20000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500≤Y＜20000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100≤Y＜500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交通运输业 *</w:t>
            </w: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从业人员(X)</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人</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X≥1000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300≤X＜1000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20≤X＜300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i w:val="0"/>
                <w:color w:val="000000"/>
                <w:sz w:val="22"/>
                <w:szCs w:val="22"/>
                <w:u w:val="none"/>
              </w:rPr>
            </w:pP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营业收入(Y)</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Y≥30000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3000≤Y＜30000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200≤Y＜3000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仓储业*</w:t>
            </w: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从业人员(X)</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人</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X≥200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100≤X＜200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20≤X＜100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i w:val="0"/>
                <w:color w:val="000000"/>
                <w:sz w:val="22"/>
                <w:szCs w:val="22"/>
                <w:u w:val="none"/>
              </w:rPr>
            </w:pP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营业收入(Y)</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Y≥30000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1000≤Y＜30000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100≤Y＜1000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邮政业</w:t>
            </w: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从业人员(X)</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人</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X≥1000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300≤X＜1000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20≤X＜300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i w:val="0"/>
                <w:color w:val="000000"/>
                <w:sz w:val="22"/>
                <w:szCs w:val="22"/>
                <w:u w:val="none"/>
              </w:rPr>
            </w:pP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营业收入(Y)</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Y≥30000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2000≤Y＜30000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100≤Y＜2000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住宿业</w:t>
            </w: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从业人员(X)</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人</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X≥300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100≤X＜300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10≤X＜100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i w:val="0"/>
                <w:color w:val="000000"/>
                <w:sz w:val="22"/>
                <w:szCs w:val="22"/>
                <w:u w:val="none"/>
              </w:rPr>
            </w:pP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营业收入(Y)</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Y≥10000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2000≤Y＜10000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100≤Y＜2000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餐饮业</w:t>
            </w: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从业人员(X)</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人</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X≥300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100≤X＜300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10≤X＜100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i w:val="0"/>
                <w:color w:val="000000"/>
                <w:sz w:val="22"/>
                <w:szCs w:val="22"/>
                <w:u w:val="none"/>
              </w:rPr>
            </w:pP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营业收入(Y)</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Y≥10000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2000≤Y＜10000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100≤Y＜2000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信息传输业 *</w:t>
            </w: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从业人员(X)</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人</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X≥2000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100≤X＜2000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10≤X＜100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i w:val="0"/>
                <w:color w:val="000000"/>
                <w:sz w:val="22"/>
                <w:szCs w:val="22"/>
                <w:u w:val="none"/>
              </w:rPr>
            </w:pP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营业收入(Y)</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Y≥100000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1000≤Y＜100000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100≤Y＜1000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软件和信息技术服务业</w:t>
            </w: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从业人员(X)</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人</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X≥300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100≤X＜300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10≤X＜100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i w:val="0"/>
                <w:color w:val="000000"/>
                <w:sz w:val="22"/>
                <w:szCs w:val="22"/>
                <w:u w:val="none"/>
              </w:rPr>
            </w:pP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营业收入(Y)</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Y≥10000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1000≤Y＜10000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50≤Y＜1000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房地产开发经营</w:t>
            </w: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营业收入(Y)</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Y≥200000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1000≤Y＜200000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100≤Y＜1000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i w:val="0"/>
                <w:color w:val="000000"/>
                <w:sz w:val="22"/>
                <w:szCs w:val="22"/>
                <w:u w:val="none"/>
              </w:rPr>
            </w:pP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资产总额(Z)</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Z≥10000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5000≤Z＜10000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2000≤Z＜5000   </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Z＜2000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物业管理</w:t>
            </w: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从业人员(X)</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人</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X≥1000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300≤X＜1000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100≤X＜300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i w:val="0"/>
                <w:color w:val="000000"/>
                <w:sz w:val="22"/>
                <w:szCs w:val="22"/>
                <w:u w:val="none"/>
              </w:rPr>
            </w:pP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营业收入(Y)</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Y≥5000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1000≤Y＜5000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500≤Y＜1000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Y＜500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租赁和商务服务业</w:t>
            </w: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从业人员(X)</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人</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X≥300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100≤X＜300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10≤X＜100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仿宋_GB2312" w:cs="Times New Roman"/>
                <w:i w:val="0"/>
                <w:color w:val="000000"/>
                <w:sz w:val="22"/>
                <w:szCs w:val="22"/>
                <w:u w:val="none"/>
              </w:rPr>
            </w:pP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资产总额(Z)</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万元</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Z≥120000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8000≤Z＜120000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100≤Z＜8000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Z＜100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3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其他未列明行业 *</w:t>
            </w:r>
          </w:p>
        </w:tc>
        <w:tc>
          <w:tcPr>
            <w:tcW w:w="127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从业人员(X)</w:t>
            </w:r>
          </w:p>
        </w:tc>
        <w:tc>
          <w:tcPr>
            <w:tcW w:w="94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人</w:t>
            </w:r>
          </w:p>
        </w:tc>
        <w:tc>
          <w:tcPr>
            <w:tcW w:w="117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X≥300</w:t>
            </w:r>
          </w:p>
        </w:tc>
        <w:tc>
          <w:tcPr>
            <w:tcW w:w="147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100≤X＜300</w:t>
            </w:r>
          </w:p>
        </w:tc>
        <w:tc>
          <w:tcPr>
            <w:tcW w:w="13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 10≤X＜100</w:t>
            </w:r>
          </w:p>
        </w:tc>
        <w:tc>
          <w:tcPr>
            <w:tcW w:w="12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X＜10</w:t>
            </w:r>
          </w:p>
        </w:tc>
      </w:tr>
    </w:tbl>
    <w:p>
      <w:pPr>
        <w:spacing w:line="540" w:lineRule="exact"/>
        <w:ind w:firstLine="713"/>
        <w:rPr>
          <w:rFonts w:ascii="仿宋_GB2312" w:eastAsia="仿宋_GB2312"/>
          <w:color w:val="000000"/>
          <w:sz w:val="32"/>
          <w:szCs w:val="32"/>
        </w:rPr>
      </w:pPr>
    </w:p>
    <w:p>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sz w:val="32"/>
          <w:lang w:eastAsia="zh-CN"/>
        </w:rPr>
      </w:pPr>
      <w:r>
        <w:rPr>
          <w:rFonts w:hint="eastAsia"/>
          <w:sz w:val="32"/>
          <w:lang w:eastAsia="zh-CN"/>
        </w:rPr>
        <w:t>二、品牌和经营管理</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1.年末资产总额、年营业收入：根据公示年度内的财务报表填写。</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2.认证情况：填写目前仍有效的认证，包括质量、环保、产品、服务及其他认证等，并提供相关佐证材料。</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3.知识产权：指尚在有效期内的各类知识产权，填写专利权、著作权、注册商标数量，商标是否是驰名商标，并提供相关佐证材料。</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4.经营资质：根据企业所处行业有无特许资质和许可证、企业是否取得特许资质和许可证；企业所处行业是否有经营资质等级、企业获得资质等级情况依次勾选，并提供相关佐证材料。</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sz w:val="32"/>
          <w:lang w:eastAsia="zh-CN"/>
        </w:rPr>
      </w:pPr>
      <w:r>
        <w:rPr>
          <w:rFonts w:hint="eastAsia"/>
          <w:sz w:val="32"/>
          <w:lang w:val="en-US" w:eastAsia="zh-CN"/>
        </w:rPr>
        <w:t>三、</w:t>
      </w:r>
      <w:r>
        <w:rPr>
          <w:rFonts w:hint="eastAsia"/>
          <w:sz w:val="32"/>
          <w:lang w:eastAsia="zh-CN"/>
        </w:rPr>
        <w:t>合同信用管理状况</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1.书面合同签约率</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收入性合同书面签约率：当年签订的收入性合同书面签约率。计算方法:</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520700" cy="283210"/>
            <wp:effectExtent l="0" t="0" r="12700" b="2540"/>
            <wp:docPr id="16" name="图片 1" descr="1705977756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1705977756859"/>
                    <pic:cNvPicPr>
                      <a:picLocks noChangeAspect="1"/>
                    </pic:cNvPicPr>
                  </pic:nvPicPr>
                  <pic:blipFill>
                    <a:blip r:embed="rId5"/>
                    <a:stretch>
                      <a:fillRect/>
                    </a:stretch>
                  </pic:blipFill>
                  <pic:spPr>
                    <a:xfrm>
                      <a:off x="0" y="0"/>
                      <a:ext cx="520700" cy="28321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（其中A=当年签订的收入性书面合同金额，B=销售总额）；</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支出性合同书面签约率：当年签订的支出性合同书面签约率。计算方法:</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577850" cy="330200"/>
            <wp:effectExtent l="0" t="0" r="12700" b="12700"/>
            <wp:docPr id="15" name="图片 2" descr="1705977756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descr="1705977756859"/>
                    <pic:cNvPicPr>
                      <a:picLocks noChangeAspect="1"/>
                    </pic:cNvPicPr>
                  </pic:nvPicPr>
                  <pic:blipFill>
                    <a:blip r:embed="rId5"/>
                    <a:stretch>
                      <a:fillRect/>
                    </a:stretch>
                  </pic:blipFill>
                  <pic:spPr>
                    <a:xfrm>
                      <a:off x="0" y="0"/>
                      <a:ext cx="577850" cy="33020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（其中A=当年签订的支出性书面合同金额，B=采购总额）。</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2.行业是否推广使用合同示范文本</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合同示范文本是指由各级行政主管部门制定、发布，或者会同有关主管部门、行业自律组织制定、发布的，供合同当事人参照使用的合同范本。行业内有无合同示范文本，指在本行业内是否有合同示范文本。</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sz w:val="32"/>
          <w:lang w:val="en-US" w:eastAsia="zh-CN"/>
        </w:rPr>
      </w:pPr>
      <w:r>
        <w:rPr>
          <w:rFonts w:hint="eastAsia"/>
          <w:sz w:val="32"/>
          <w:lang w:val="en-US" w:eastAsia="zh-CN"/>
        </w:rPr>
        <w:t>四、合同履约状况</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1.收入性合同履约率</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当年收入性合同的实际履约率。指标取值：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867410" cy="304800"/>
            <wp:effectExtent l="0" t="0" r="8890" b="0"/>
            <wp:docPr id="19" name="图片 3" descr="1705977833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descr="1705977833092"/>
                    <pic:cNvPicPr>
                      <a:picLocks noChangeAspect="1"/>
                    </pic:cNvPicPr>
                  </pic:nvPicPr>
                  <pic:blipFill>
                    <a:blip r:embed="rId6"/>
                    <a:stretch>
                      <a:fillRect/>
                    </a:stretch>
                  </pic:blipFill>
                  <pic:spPr>
                    <a:xfrm>
                      <a:off x="0" y="0"/>
                      <a:ext cx="867410" cy="30480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(其中，A=当年实际履行的收入性合同份数，B=当年应当履行收入性合同份数，C=不可抗力、对方违约份数，D=当年实际履行的收入性合同金额，E=当年应当履行收入性合同金额，F=不可抗力、对方违约金额)。</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2.支出性合同履约率</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当年支出性合同的实际履约率。指标取值：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835660" cy="322580"/>
            <wp:effectExtent l="0" t="0" r="2540" b="1270"/>
            <wp:docPr id="13" name="图片 4" descr="1705977918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1705977918267"/>
                    <pic:cNvPicPr>
                      <a:picLocks noChangeAspect="1"/>
                    </pic:cNvPicPr>
                  </pic:nvPicPr>
                  <pic:blipFill>
                    <a:blip r:embed="rId7"/>
                    <a:stretch>
                      <a:fillRect/>
                    </a:stretch>
                  </pic:blipFill>
                  <pic:spPr>
                    <a:xfrm>
                      <a:off x="0" y="0"/>
                      <a:ext cx="835660" cy="32258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(其中，A=当年实际履行的支出性合同份数，B=当年应当履行支出性合同份数，C=不可抗力、对方违约份数，D=当年实际履行的支出性合同金额，E=当年应当履行支出性合同金额，F=不可抗力、对方违约金额)。</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3.期末应收款占收入性合同总额比例</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期末应收款所占收入性合同总额的比例。指标取值：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628650" cy="361950"/>
            <wp:effectExtent l="0" t="0" r="0" b="0"/>
            <wp:docPr id="17" name="图片 5" descr="170597810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descr="1705978102111"/>
                    <pic:cNvPicPr>
                      <a:picLocks noChangeAspect="1"/>
                    </pic:cNvPicPr>
                  </pic:nvPicPr>
                  <pic:blipFill>
                    <a:blip r:embed="rId8"/>
                    <a:stretch>
                      <a:fillRect/>
                    </a:stretch>
                  </pic:blipFill>
                  <pic:spPr>
                    <a:xfrm>
                      <a:off x="0" y="0"/>
                      <a:ext cx="628650" cy="36195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(其中，A=期末应收款余额，B=当年应当履行的收入性合同总额)。</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4.期末应付款占支出性合同总额比例</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期末应付款所占支出性合同总额的比例。指标取值：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571500" cy="323850"/>
            <wp:effectExtent l="0" t="0" r="0" b="0"/>
            <wp:docPr id="18" name="图片 6" descr="1705978265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descr="1705978265312"/>
                    <pic:cNvPicPr>
                      <a:picLocks noChangeAspect="1"/>
                    </pic:cNvPicPr>
                  </pic:nvPicPr>
                  <pic:blipFill>
                    <a:blip r:embed="rId9"/>
                    <a:stretch>
                      <a:fillRect/>
                    </a:stretch>
                  </pic:blipFill>
                  <pic:spPr>
                    <a:xfrm>
                      <a:off x="0" y="0"/>
                      <a:ext cx="571500" cy="32385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(其中，A=期末应付款余额，B=当年应当履行的支出性合同总额)。</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5.合同变更率</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合同变更的比例。指标取值：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723265" cy="295910"/>
            <wp:effectExtent l="0" t="0" r="635" b="8890"/>
            <wp:docPr id="21" name="图片 7" descr="1705977864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 descr="1705977864371"/>
                    <pic:cNvPicPr>
                      <a:picLocks noChangeAspect="1"/>
                    </pic:cNvPicPr>
                  </pic:nvPicPr>
                  <pic:blipFill>
                    <a:blip r:embed="rId10"/>
                    <a:stretch>
                      <a:fillRect/>
                    </a:stretch>
                  </pic:blipFill>
                  <pic:spPr>
                    <a:xfrm>
                      <a:off x="0" y="0"/>
                      <a:ext cx="723265" cy="29591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其中，A=合同变更份数，B=书面合同份数，C=合同变更总金额，D=书面合同总金额)。</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6.合同解除率</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协议解除合同率：合同被协议解除的比例。指标取值：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790575" cy="323850"/>
            <wp:effectExtent l="0" t="0" r="9525" b="0"/>
            <wp:docPr id="20" name="图片 8" descr="1705978013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descr="1705978013629"/>
                    <pic:cNvPicPr>
                      <a:picLocks noChangeAspect="1"/>
                    </pic:cNvPicPr>
                  </pic:nvPicPr>
                  <pic:blipFill>
                    <a:blip r:embed="rId11"/>
                    <a:stretch>
                      <a:fillRect/>
                    </a:stretch>
                  </pic:blipFill>
                  <pic:spPr>
                    <a:xfrm>
                      <a:off x="0" y="0"/>
                      <a:ext cx="790575" cy="32385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，A=协议解除合同份数，B=书面合同份数，C=协议解除合同总金额，D=书面合同总金额)；</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其他形式解除合同率:协议解除以外其他方式解除合同的比例。指标取值：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685800" cy="342900"/>
            <wp:effectExtent l="0" t="0" r="0" b="0"/>
            <wp:docPr id="12" name="图片 9" descr="1705978013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descr="1705978013629"/>
                    <pic:cNvPicPr>
                      <a:picLocks noChangeAspect="1"/>
                    </pic:cNvPicPr>
                  </pic:nvPicPr>
                  <pic:blipFill>
                    <a:blip r:embed="rId11"/>
                    <a:stretch>
                      <a:fillRect/>
                    </a:stretch>
                  </pic:blipFill>
                  <pic:spPr>
                    <a:xfrm>
                      <a:off x="0" y="0"/>
                      <a:ext cx="685800" cy="34290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(其中，A=其他形式解除合同份数，B=书面合同份数，C=其他形式解除合同总金额，D=书面合同总金额)。</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7.合同撤销率</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合同被撤销的比例。指标取值：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695960" cy="283210"/>
            <wp:effectExtent l="0" t="0" r="8890" b="2540"/>
            <wp:docPr id="5" name="图片 10" descr="1705978068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descr="1705978068701"/>
                    <pic:cNvPicPr>
                      <a:picLocks noChangeAspect="1"/>
                    </pic:cNvPicPr>
                  </pic:nvPicPr>
                  <pic:blipFill>
                    <a:blip r:embed="rId12"/>
                    <a:stretch>
                      <a:fillRect/>
                    </a:stretch>
                  </pic:blipFill>
                  <pic:spPr>
                    <a:xfrm>
                      <a:off x="0" y="0"/>
                      <a:ext cx="695960" cy="28321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(其中，A=合同撤销份数，B=书面合同份数，C=合同撤销总金额，D=书面合同总金额)。</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8.合同未履行率</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到期未履行的合同比例。指标取值：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628650" cy="245110"/>
            <wp:effectExtent l="0" t="0" r="0" b="2540"/>
            <wp:docPr id="6" name="图片 11" descr="1705978217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descr="1705978217844"/>
                    <pic:cNvPicPr>
                      <a:picLocks noChangeAspect="1"/>
                    </pic:cNvPicPr>
                  </pic:nvPicPr>
                  <pic:blipFill>
                    <a:blip r:embed="rId13"/>
                    <a:stretch>
                      <a:fillRect/>
                    </a:stretch>
                  </pic:blipFill>
                  <pic:spPr>
                    <a:xfrm>
                      <a:off x="0" y="0"/>
                      <a:ext cx="628650" cy="24511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(其中，A=实际到期未履行的合同总份数，B=当年应当履行合同总份数，C=实际到期未履行的合同总金额，D=当年应当履行合同总金额)。</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sz w:val="32"/>
          <w:lang w:val="en-US" w:eastAsia="zh-CN"/>
        </w:rPr>
      </w:pPr>
      <w:r>
        <w:rPr>
          <w:rFonts w:hint="eastAsia"/>
          <w:sz w:val="32"/>
          <w:lang w:val="en-US" w:eastAsia="zh-CN"/>
        </w:rPr>
        <w:t>五、企业经营效益</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1.营业收入增长率</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企业营业收入的年增长率。指标取值：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768350" cy="304800"/>
            <wp:effectExtent l="0" t="0" r="12700" b="0"/>
            <wp:docPr id="7" name="图片 12" descr="1705978325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descr="1705978325163"/>
                    <pic:cNvPicPr>
                      <a:picLocks noChangeAspect="1"/>
                    </pic:cNvPicPr>
                  </pic:nvPicPr>
                  <pic:blipFill>
                    <a:blip r:embed="rId14"/>
                    <a:stretch>
                      <a:fillRect/>
                    </a:stretch>
                  </pic:blipFill>
                  <pic:spPr>
                    <a:xfrm>
                      <a:off x="0" y="0"/>
                      <a:ext cx="768350" cy="30480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，A=当年营业收入，B=上年营业收入，C=上年营业收入)。</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2.主营业务利润率</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主营业务的利润率。指标取值：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730250" cy="304800"/>
            <wp:effectExtent l="0" t="0" r="12700" b="0"/>
            <wp:docPr id="8" name="图片 13" descr="1705978388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descr="1705978388365"/>
                    <pic:cNvPicPr>
                      <a:picLocks noChangeAspect="1"/>
                    </pic:cNvPicPr>
                  </pic:nvPicPr>
                  <pic:blipFill>
                    <a:blip r:embed="rId15"/>
                    <a:stretch>
                      <a:fillRect/>
                    </a:stretch>
                  </pic:blipFill>
                  <pic:spPr>
                    <a:xfrm>
                      <a:off x="0" y="0"/>
                      <a:ext cx="730250" cy="30480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(其中，A=主营业务收入，B=主营业务成本，C=主营业务收入)。</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3.净资产收益率</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净资产的收益率。指标取值：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971550" cy="285750"/>
            <wp:effectExtent l="0" t="0" r="0" b="0"/>
            <wp:docPr id="9" name="图片 14" descr="1705978468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descr="1705978468603"/>
                    <pic:cNvPicPr>
                      <a:picLocks noChangeAspect="1"/>
                    </pic:cNvPicPr>
                  </pic:nvPicPr>
                  <pic:blipFill>
                    <a:blip r:embed="rId16"/>
                    <a:stretch>
                      <a:fillRect/>
                    </a:stretch>
                  </pic:blipFill>
                  <pic:spPr>
                    <a:xfrm>
                      <a:off x="0" y="0"/>
                      <a:ext cx="971550" cy="28575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(其中，A=净利润，B=净资产年初数，C=净资产年末数)。</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4.资产负债率</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资产的负债率。指标取值：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609600" cy="323850"/>
            <wp:effectExtent l="0" t="0" r="0" b="0"/>
            <wp:docPr id="10" name="图片 15" descr="1705978518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descr="1705978518379"/>
                    <pic:cNvPicPr>
                      <a:picLocks noChangeAspect="1"/>
                    </pic:cNvPicPr>
                  </pic:nvPicPr>
                  <pic:blipFill>
                    <a:blip r:embed="rId17"/>
                    <a:stretch>
                      <a:fillRect/>
                    </a:stretch>
                  </pic:blipFill>
                  <pic:spPr>
                    <a:xfrm>
                      <a:off x="0" y="0"/>
                      <a:ext cx="609600" cy="32385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(其中，A=负债总额，B=资产总额)。</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5.速动比率</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速动资产对流动负债的比率。它是衡量企业流动资产中可以立即变现用于偿还流动负债的能力。指标取值：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768350" cy="330200"/>
            <wp:effectExtent l="0" t="0" r="12700" b="12700"/>
            <wp:docPr id="11" name="图片 16" descr="1705978355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 descr="1705978355258"/>
                    <pic:cNvPicPr>
                      <a:picLocks noChangeAspect="1"/>
                    </pic:cNvPicPr>
                  </pic:nvPicPr>
                  <pic:blipFill>
                    <a:blip r:embed="rId18"/>
                    <a:stretch>
                      <a:fillRect/>
                    </a:stretch>
                  </pic:blipFill>
                  <pic:spPr>
                    <a:xfrm>
                      <a:off x="0" y="0"/>
                      <a:ext cx="768350" cy="33020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(其中，A=流动资产，B=存货，C=流动负债)。</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6.应收账款周转率</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应收账款的周转率。指标取值：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977900" cy="330200"/>
            <wp:effectExtent l="0" t="0" r="12700" b="12700"/>
            <wp:docPr id="22" name="图片 17" descr="1705978429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7" descr="1705978429339"/>
                    <pic:cNvPicPr>
                      <a:picLocks noChangeAspect="1"/>
                    </pic:cNvPicPr>
                  </pic:nvPicPr>
                  <pic:blipFill>
                    <a:blip r:embed="rId19"/>
                    <a:stretch>
                      <a:fillRect/>
                    </a:stretch>
                  </pic:blipFill>
                  <pic:spPr>
                    <a:xfrm>
                      <a:off x="0" y="0"/>
                      <a:ext cx="977900" cy="33020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(其中，A=主营业务收入，B=应收账款年初数，C=应收账款年末数)。</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7.逾期账款占应收账款比例</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逾期账款占应收账款比例。指标取值：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609600" cy="323850"/>
            <wp:effectExtent l="0" t="0" r="0" b="0"/>
            <wp:docPr id="23" name="图片 18" descr="1705978518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8" descr="1705978518379"/>
                    <pic:cNvPicPr>
                      <a:picLocks noChangeAspect="1"/>
                    </pic:cNvPicPr>
                  </pic:nvPicPr>
                  <pic:blipFill>
                    <a:blip r:embed="rId17"/>
                    <a:stretch>
                      <a:fillRect/>
                    </a:stretch>
                  </pic:blipFill>
                  <pic:spPr>
                    <a:xfrm>
                      <a:off x="0" y="0"/>
                      <a:ext cx="609600" cy="32385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，A=逾期应收账款，逾期应收账款：指应收账款中超过收入性合同约定期限，到期应收而未收的款项。B=应收账款年末数)。</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8.逾期账款占应付账款比例</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逾期账款应付账款比例。指标取值：</w:t>
      </w:r>
      <w:r>
        <w:rPr>
          <w:rFonts w:hint="eastAsia" w:ascii="仿宋_GB2312" w:hAnsi="Times New Roman" w:eastAsia="仿宋_GB2312" w:cs="宋体"/>
          <w:color w:val="000000"/>
          <w:spacing w:val="8"/>
          <w:kern w:val="0"/>
          <w:sz w:val="32"/>
          <w:szCs w:val="32"/>
          <w:lang w:val="en-US" w:eastAsia="zh-CN"/>
        </w:rPr>
        <w:drawing>
          <wp:inline distT="0" distB="0" distL="114300" distR="114300">
            <wp:extent cx="609600" cy="323850"/>
            <wp:effectExtent l="0" t="0" r="0" b="0"/>
            <wp:docPr id="24" name="图片 19" descr="1705978518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9" descr="1705978518379"/>
                    <pic:cNvPicPr>
                      <a:picLocks noChangeAspect="1"/>
                    </pic:cNvPicPr>
                  </pic:nvPicPr>
                  <pic:blipFill>
                    <a:blip r:embed="rId17"/>
                    <a:stretch>
                      <a:fillRect/>
                    </a:stretch>
                  </pic:blipFill>
                  <pic:spPr>
                    <a:xfrm>
                      <a:off x="0" y="0"/>
                      <a:ext cx="609600" cy="323850"/>
                    </a:xfrm>
                    <a:prstGeom prst="rect">
                      <a:avLst/>
                    </a:prstGeom>
                    <a:noFill/>
                    <a:ln w="9525">
                      <a:noFill/>
                    </a:ln>
                  </pic:spPr>
                </pic:pic>
              </a:graphicData>
            </a:graphic>
          </wp:inline>
        </w:drawing>
      </w:r>
      <w:r>
        <w:rPr>
          <w:rFonts w:hint="eastAsia" w:ascii="仿宋_GB2312" w:hAnsi="Times New Roman" w:eastAsia="仿宋_GB2312" w:cs="宋体"/>
          <w:color w:val="000000"/>
          <w:spacing w:val="8"/>
          <w:kern w:val="0"/>
          <w:sz w:val="32"/>
          <w:szCs w:val="32"/>
          <w:lang w:val="en-US" w:eastAsia="zh-CN"/>
        </w:rPr>
        <w:t>，A=逾期应付账款，逾期应付账款：指应付账款中超过支出性合同约定期限，到期应付而未付的款项。B=应付账款年末数)。</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sz w:val="32"/>
          <w:lang w:val="en-US" w:eastAsia="zh-CN"/>
        </w:rPr>
      </w:pPr>
      <w:r>
        <w:rPr>
          <w:rFonts w:hint="eastAsia"/>
          <w:sz w:val="32"/>
          <w:lang w:val="en-US" w:eastAsia="zh-CN"/>
        </w:rPr>
        <w:t>六、企业社会信誉</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1.荣誉记录填写在评价年度内有效的由国务院、国家部委、省级政府、其他地市级（含）以上政府颁发的荣誉，并提供相关佐证材料。</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2.有资质的信用评级机构指取得政府有关部门资格审批、认可的信用评级机构。</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3.有资质的诚信评价机构指取得政府有关部门资格审批的诚信评价机构。</w:t>
      </w:r>
    </w:p>
    <w:p>
      <w:pPr>
        <w:spacing w:line="540" w:lineRule="exact"/>
        <w:ind w:firstLine="713"/>
        <w:rPr>
          <w:rFonts w:hint="eastAsia" w:ascii="仿宋_GB2312" w:hAnsi="Times New Roman" w:eastAsia="仿宋_GB2312" w:cs="宋体"/>
          <w:color w:val="000000"/>
          <w:spacing w:val="8"/>
          <w:kern w:val="0"/>
          <w:sz w:val="32"/>
          <w:szCs w:val="32"/>
          <w:lang w:val="en-US" w:eastAsia="zh-CN"/>
        </w:rPr>
      </w:pPr>
      <w:r>
        <w:rPr>
          <w:rFonts w:hint="eastAsia" w:ascii="仿宋_GB2312" w:hAnsi="Times New Roman" w:eastAsia="仿宋_GB2312" w:cs="宋体"/>
          <w:color w:val="000000"/>
          <w:spacing w:val="8"/>
          <w:kern w:val="0"/>
          <w:sz w:val="32"/>
          <w:szCs w:val="32"/>
          <w:lang w:val="en-US" w:eastAsia="zh-CN"/>
        </w:rPr>
        <w:t>4.已完成信用修复的企业须提供相关佐证材料。</w:t>
      </w:r>
    </w:p>
    <w:p>
      <w:pPr>
        <w:spacing w:line="540" w:lineRule="exact"/>
        <w:ind w:firstLine="713"/>
        <w:rPr>
          <w:rFonts w:hint="eastAsia" w:ascii="仿宋_GB2312" w:hAnsi="Times New Roman" w:eastAsia="仿宋_GB2312" w:cs="宋体"/>
          <w:color w:val="000000"/>
          <w:spacing w:val="8"/>
          <w:kern w:val="0"/>
          <w:sz w:val="32"/>
          <w:szCs w:val="32"/>
          <w:lang w:val="en-US" w:eastAsia="zh-Hans"/>
        </w:rPr>
      </w:pPr>
      <w:r>
        <w:rPr>
          <w:rFonts w:hint="eastAsia" w:ascii="仿宋_GB2312" w:hAnsi="Times New Roman" w:eastAsia="仿宋_GB2312" w:cs="宋体"/>
          <w:color w:val="000000"/>
          <w:spacing w:val="8"/>
          <w:kern w:val="0"/>
          <w:sz w:val="32"/>
          <w:szCs w:val="32"/>
          <w:lang w:val="en-US" w:eastAsia="zh-CN"/>
        </w:rPr>
        <w:t>5.企业信用评价等级须提供相关佐证材料。</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sz w:val="32"/>
          <w:lang w:val="en-US" w:eastAsia="zh-CN"/>
        </w:rPr>
      </w:pPr>
      <w:r>
        <w:rPr>
          <w:rFonts w:hint="eastAsia"/>
          <w:sz w:val="32"/>
          <w:lang w:val="en-US" w:eastAsia="zh-CN"/>
        </w:rPr>
        <w:t>七、</w:t>
      </w:r>
      <w:r>
        <w:rPr>
          <w:rFonts w:hint="eastAsia"/>
          <w:sz w:val="32"/>
          <w:lang w:val="en-US" w:eastAsia="zh-Hans"/>
        </w:rPr>
        <w:t>“企业信用状况资料”获取方式</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72" w:firstLineChars="200"/>
        <w:textAlignment w:val="auto"/>
        <w:rPr>
          <w:rFonts w:hint="default" w:ascii="仿宋_GB2312" w:hAnsi="Times New Roman" w:eastAsia="仿宋_GB2312" w:cs="宋体"/>
          <w:bCs w:val="0"/>
          <w:color w:val="000000"/>
          <w:spacing w:val="8"/>
          <w:kern w:val="0"/>
          <w:sz w:val="32"/>
          <w:szCs w:val="32"/>
          <w:lang w:val="en-US" w:eastAsia="zh-CN" w:bidi="ar-SA"/>
        </w:rPr>
      </w:pPr>
      <w:r>
        <w:rPr>
          <w:rFonts w:hint="eastAsia" w:ascii="仿宋_GB2312" w:hAnsi="Times New Roman" w:eastAsia="仿宋_GB2312" w:cs="宋体"/>
          <w:bCs w:val="0"/>
          <w:color w:val="000000"/>
          <w:spacing w:val="8"/>
          <w:kern w:val="0"/>
          <w:sz w:val="32"/>
          <w:szCs w:val="32"/>
          <w:lang w:val="en-US" w:eastAsia="zh-CN" w:bidi="ar-SA"/>
        </w:rPr>
        <w:t>登陆https://www.creditchina.</w:t>
      </w:r>
      <w:r>
        <w:rPr>
          <w:rFonts w:hint="default" w:ascii="仿宋_GB2312" w:hAnsi="Times New Roman" w:eastAsia="仿宋_GB2312" w:cs="宋体"/>
          <w:bCs w:val="0"/>
          <w:color w:val="000000"/>
          <w:spacing w:val="8"/>
          <w:kern w:val="0"/>
          <w:sz w:val="32"/>
          <w:szCs w:val="32"/>
          <w:lang w:val="en-US" w:eastAsia="zh-CN" w:bidi="ar-SA"/>
        </w:rPr>
        <w:t>g</w:t>
      </w:r>
      <w:r>
        <w:rPr>
          <w:rFonts w:hint="eastAsia" w:ascii="仿宋_GB2312" w:hAnsi="Times New Roman" w:eastAsia="仿宋_GB2312" w:cs="宋体"/>
          <w:bCs w:val="0"/>
          <w:color w:val="000000"/>
          <w:spacing w:val="8"/>
          <w:kern w:val="0"/>
          <w:sz w:val="32"/>
          <w:szCs w:val="32"/>
          <w:lang w:val="en-US" w:eastAsia="zh-CN" w:bidi="ar-SA"/>
        </w:rPr>
        <w:t>ov.cn/，输入公司名称搜索，点击“下载信用信息报告”</w:t>
      </w:r>
      <w:r>
        <w:rPr>
          <w:rFonts w:hint="default" w:ascii="仿宋_GB2312" w:hAnsi="Times New Roman" w:eastAsia="仿宋_GB2312" w:cs="宋体"/>
          <w:bCs w:val="0"/>
          <w:color w:val="000000"/>
          <w:spacing w:val="8"/>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leftChars="0"/>
        <w:textAlignment w:val="auto"/>
        <w:rPr>
          <w:rFonts w:hint="default"/>
        </w:rPr>
      </w:pPr>
    </w:p>
    <w:p>
      <w:pPr>
        <w:pStyle w:val="4"/>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outlineLvl w:val="9"/>
        <w:rPr>
          <w:rFonts w:hint="eastAsia" w:ascii="Times New Roman" w:hAnsi="Times New Roman" w:eastAsia="仿宋_GB2312"/>
          <w:sz w:val="32"/>
          <w:lang w:val="en-US" w:eastAsia="zh-CN"/>
        </w:rPr>
      </w:pPr>
    </w:p>
    <w:p>
      <w:pPr>
        <w:pStyle w:val="4"/>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outlineLvl w:val="9"/>
        <w:rPr>
          <w:rFonts w:hint="eastAsia" w:ascii="Times New Roman" w:hAnsi="Times New Roman" w:eastAsia="仿宋_GB2312"/>
          <w:sz w:val="32"/>
          <w:lang w:val="en-US" w:eastAsia="zh-CN"/>
        </w:rPr>
      </w:pPr>
    </w:p>
    <w:p>
      <w:pPr>
        <w:pStyle w:val="4"/>
        <w:keepNext w:val="0"/>
        <w:keepLines w:val="0"/>
        <w:pageBreakBefore w:val="0"/>
        <w:widowControl w:val="0"/>
        <w:kinsoku/>
        <w:wordWrap/>
        <w:overflowPunct/>
        <w:topLinePunct w:val="0"/>
        <w:autoSpaceDE/>
        <w:autoSpaceDN/>
        <w:bidi w:val="0"/>
        <w:adjustRightInd/>
        <w:snapToGrid w:val="0"/>
        <w:spacing w:line="560" w:lineRule="exact"/>
        <w:ind w:left="0" w:leftChars="0" w:firstLine="420" w:firstLineChars="200"/>
        <w:jc w:val="left"/>
        <w:textAlignment w:val="auto"/>
        <w:outlineLvl w:val="9"/>
        <w:rPr>
          <w:rFonts w:hint="eastAsia" w:ascii="Times New Roman" w:hAnsi="Times New Roman" w:eastAsia="仿宋_GB2312"/>
          <w:sz w:val="32"/>
          <w:lang w:val="en-US" w:eastAsia="zh-CN"/>
        </w:rPr>
      </w:pPr>
      <w:r>
        <w:drawing>
          <wp:anchor distT="0" distB="0" distL="114300" distR="114300" simplePos="0" relativeHeight="251660288" behindDoc="1" locked="0" layoutInCell="1" allowOverlap="1">
            <wp:simplePos x="0" y="0"/>
            <wp:positionH relativeFrom="column">
              <wp:posOffset>72390</wp:posOffset>
            </wp:positionH>
            <wp:positionV relativeFrom="paragraph">
              <wp:posOffset>33655</wp:posOffset>
            </wp:positionV>
            <wp:extent cx="5400040" cy="3676015"/>
            <wp:effectExtent l="0" t="0" r="10160" b="635"/>
            <wp:wrapNone/>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20"/>
                    <a:stretch>
                      <a:fillRect/>
                    </a:stretch>
                  </pic:blipFill>
                  <pic:spPr>
                    <a:xfrm>
                      <a:off x="0" y="0"/>
                      <a:ext cx="5400040" cy="3676015"/>
                    </a:xfrm>
                    <a:prstGeom prst="rect">
                      <a:avLst/>
                    </a:prstGeom>
                    <a:noFill/>
                    <a:ln w="9525">
                      <a:noFill/>
                    </a:ln>
                  </pic:spPr>
                </pic:pic>
              </a:graphicData>
            </a:graphic>
          </wp:anchor>
        </w:drawing>
      </w:r>
    </w:p>
    <w:p>
      <w:pPr>
        <w:pStyle w:val="4"/>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outlineLvl w:val="9"/>
        <w:rPr>
          <w:rFonts w:hint="eastAsia" w:ascii="Times New Roman" w:hAnsi="Times New Roman" w:eastAsia="仿宋_GB2312"/>
          <w:sz w:val="32"/>
          <w:lang w:val="en-US" w:eastAsia="zh-CN"/>
        </w:rPr>
      </w:pPr>
    </w:p>
    <w:p>
      <w:pPr>
        <w:pStyle w:val="4"/>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outlineLvl w:val="9"/>
        <w:rPr>
          <w:rFonts w:hint="eastAsia" w:ascii="Times New Roman" w:hAnsi="Times New Roman" w:eastAsia="仿宋_GB2312"/>
          <w:sz w:val="32"/>
          <w:lang w:val="en-US" w:eastAsia="zh-CN"/>
        </w:rPr>
      </w:pPr>
    </w:p>
    <w:p>
      <w:pPr>
        <w:pStyle w:val="4"/>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outlineLvl w:val="9"/>
        <w:rPr>
          <w:rFonts w:hint="eastAsia" w:ascii="Times New Roman" w:hAnsi="Times New Roman" w:eastAsia="仿宋_GB2312"/>
          <w:sz w:val="32"/>
          <w:lang w:val="en-US" w:eastAsia="zh-CN"/>
        </w:rPr>
      </w:pPr>
    </w:p>
    <w:p>
      <w:pPr>
        <w:pStyle w:val="4"/>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outlineLvl w:val="9"/>
        <w:rPr>
          <w:rFonts w:hint="eastAsia" w:ascii="Times New Roman" w:hAnsi="Times New Roman" w:eastAsia="仿宋_GB2312"/>
          <w:sz w:val="32"/>
          <w:lang w:val="en-US" w:eastAsia="zh-CN"/>
        </w:rPr>
      </w:pPr>
    </w:p>
    <w:p>
      <w:pPr>
        <w:pStyle w:val="4"/>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outlineLvl w:val="9"/>
        <w:rPr>
          <w:rFonts w:hint="eastAsia" w:ascii="Times New Roman" w:hAnsi="Times New Roman" w:eastAsia="仿宋_GB2312"/>
          <w:sz w:val="32"/>
          <w:lang w:val="en-US" w:eastAsia="zh-CN"/>
        </w:rPr>
      </w:pPr>
    </w:p>
    <w:p>
      <w:pPr>
        <w:pStyle w:val="4"/>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outlineLvl w:val="9"/>
        <w:rPr>
          <w:rFonts w:hint="eastAsia" w:ascii="Times New Roman" w:hAnsi="Times New Roman" w:eastAsia="仿宋_GB2312"/>
          <w:sz w:val="32"/>
          <w:lang w:val="en-US" w:eastAsia="zh-CN"/>
        </w:rPr>
      </w:pPr>
    </w:p>
    <w:p>
      <w:pPr>
        <w:pStyle w:val="4"/>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outlineLvl w:val="9"/>
        <w:rPr>
          <w:rFonts w:hint="eastAsia" w:ascii="Times New Roman" w:hAnsi="Times New Roman" w:eastAsia="仿宋_GB2312"/>
          <w:sz w:val="32"/>
          <w:lang w:val="en-US" w:eastAsia="zh-CN"/>
        </w:rPr>
      </w:pPr>
    </w:p>
    <w:p>
      <w:pPr>
        <w:pStyle w:val="4"/>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outlineLvl w:val="9"/>
        <w:rPr>
          <w:rFonts w:hint="eastAsia" w:ascii="Times New Roman" w:hAnsi="Times New Roman" w:eastAsia="仿宋_GB2312"/>
          <w:sz w:val="32"/>
          <w:lang w:val="en-US" w:eastAsia="zh-CN"/>
        </w:rPr>
      </w:pPr>
    </w:p>
    <w:p>
      <w:pPr>
        <w:pStyle w:val="4"/>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outlineLvl w:val="9"/>
        <w:rPr>
          <w:rFonts w:hint="eastAsia" w:ascii="Times New Roman" w:hAnsi="Times New Roman" w:eastAsia="仿宋_GB2312"/>
          <w:sz w:val="32"/>
          <w:lang w:val="en-US" w:eastAsia="zh-CN"/>
        </w:rPr>
      </w:pPr>
    </w:p>
    <w:p>
      <w:pPr>
        <w:pStyle w:val="4"/>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jc w:val="left"/>
        <w:textAlignment w:val="auto"/>
        <w:outlineLvl w:val="9"/>
        <w:rPr>
          <w:rFonts w:hint="eastAsia" w:ascii="Times New Roman" w:hAnsi="Times New Roman" w:eastAsia="仿宋_GB2312"/>
          <w:sz w:val="32"/>
          <w:lang w:val="en-US" w:eastAsia="zh-CN"/>
        </w:rPr>
      </w:pPr>
    </w:p>
    <w:p>
      <w:pPr>
        <w:pStyle w:val="4"/>
        <w:keepNext w:val="0"/>
        <w:keepLines w:val="0"/>
        <w:pageBreakBefore w:val="0"/>
        <w:widowControl w:val="0"/>
        <w:kinsoku/>
        <w:wordWrap/>
        <w:overflowPunct/>
        <w:topLinePunct w:val="0"/>
        <w:autoSpaceDE/>
        <w:autoSpaceDN/>
        <w:bidi w:val="0"/>
        <w:adjustRightInd/>
        <w:snapToGrid w:val="0"/>
        <w:spacing w:line="560" w:lineRule="exact"/>
        <w:ind w:left="0" w:leftChars="0" w:firstLine="0" w:firstLineChars="0"/>
        <w:jc w:val="left"/>
        <w:textAlignment w:val="auto"/>
        <w:outlineLvl w:val="9"/>
        <w:rPr>
          <w:rFonts w:hint="eastAsia" w:ascii="Times New Roman" w:hAnsi="Times New Roman" w:eastAsia="仿宋_GB2312"/>
          <w:sz w:val="32"/>
          <w:lang w:val="en-US" w:eastAsia="zh-CN"/>
        </w:rPr>
      </w:pPr>
    </w:p>
    <w:p/>
    <w:p>
      <w:pPr>
        <w:pStyle w:val="4"/>
        <w:keepNext w:val="0"/>
        <w:keepLines w:val="0"/>
        <w:pageBreakBefore w:val="0"/>
        <w:widowControl w:val="0"/>
        <w:kinsoku/>
        <w:wordWrap/>
        <w:overflowPunct/>
        <w:topLinePunct w:val="0"/>
        <w:autoSpaceDE/>
        <w:autoSpaceDN/>
        <w:bidi w:val="0"/>
        <w:adjustRightInd/>
        <w:snapToGrid w:val="0"/>
        <w:spacing w:after="0" w:line="560" w:lineRule="exact"/>
        <w:ind w:left="0" w:leftChars="0" w:firstLine="0" w:firstLineChars="0"/>
        <w:textAlignment w:val="auto"/>
        <w:outlineLvl w:val="9"/>
        <w:rPr>
          <w:rFonts w:hint="eastAsia" w:ascii="黑体" w:hAnsi="黑体" w:eastAsia="黑体" w:cs="黑体"/>
          <w:sz w:val="32"/>
          <w:lang w:val="en-US" w:eastAsia="zh-CN"/>
        </w:rPr>
      </w:pPr>
    </w:p>
    <w:p>
      <w:pPr>
        <w:pStyle w:val="4"/>
        <w:keepNext w:val="0"/>
        <w:keepLines w:val="0"/>
        <w:pageBreakBefore w:val="0"/>
        <w:widowControl w:val="0"/>
        <w:kinsoku/>
        <w:wordWrap/>
        <w:overflowPunct/>
        <w:topLinePunct w:val="0"/>
        <w:autoSpaceDE/>
        <w:autoSpaceDN/>
        <w:bidi w:val="0"/>
        <w:adjustRightInd/>
        <w:snapToGrid w:val="0"/>
        <w:spacing w:after="0" w:line="560" w:lineRule="exact"/>
        <w:ind w:left="0" w:leftChars="0" w:firstLine="0" w:firstLineChars="0"/>
        <w:textAlignment w:val="auto"/>
        <w:outlineLvl w:val="9"/>
        <w:rPr>
          <w:rFonts w:hint="eastAsia" w:ascii="黑体" w:hAnsi="黑体" w:eastAsia="黑体" w:cs="黑体"/>
          <w:sz w:val="32"/>
          <w:lang w:val="en-US" w:eastAsia="zh-CN"/>
        </w:rPr>
      </w:pPr>
    </w:p>
    <w:p>
      <w:pPr>
        <w:pStyle w:val="4"/>
        <w:keepNext w:val="0"/>
        <w:keepLines w:val="0"/>
        <w:pageBreakBefore w:val="0"/>
        <w:widowControl w:val="0"/>
        <w:kinsoku/>
        <w:wordWrap/>
        <w:overflowPunct/>
        <w:topLinePunct w:val="0"/>
        <w:autoSpaceDE/>
        <w:autoSpaceDN/>
        <w:bidi w:val="0"/>
        <w:adjustRightInd/>
        <w:snapToGrid w:val="0"/>
        <w:spacing w:after="0" w:line="560" w:lineRule="exact"/>
        <w:ind w:left="0" w:leftChars="0" w:firstLine="0" w:firstLineChars="0"/>
        <w:textAlignment w:val="auto"/>
        <w:outlineLvl w:val="9"/>
        <w:rPr>
          <w:rFonts w:hint="eastAsia" w:ascii="黑体" w:hAnsi="黑体" w:eastAsia="黑体" w:cs="黑体"/>
          <w:sz w:val="32"/>
          <w:lang w:val="en-US" w:eastAsia="zh-CN"/>
        </w:rPr>
      </w:pPr>
    </w:p>
    <w:p/>
    <w:sectPr>
      <w:footerReference r:id="rId3" w:type="default"/>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方正小标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CESI仿宋-GB2312">
    <w:altName w:val="仿宋"/>
    <w:panose1 w:val="02000500000000000000"/>
    <w:charset w:val="86"/>
    <w:family w:val="auto"/>
    <w:pitch w:val="default"/>
    <w:sig w:usb0="00000000" w:usb1="00000000" w:usb2="00000010" w:usb3="00000000" w:csb0="0004000F" w:csb1="00000000"/>
  </w:font>
  <w:font w:name="方正书宋_GBK">
    <w:altName w:val="微软雅黑"/>
    <w:panose1 w:val="03000509000000000000"/>
    <w:charset w:val="86"/>
    <w:family w:val="auto"/>
    <w:pitch w:val="default"/>
    <w:sig w:usb0="00000000" w:usb1="00000000" w:usb2="00000000" w:usb3="00000000" w:csb0="00040000" w:csb1="00000000"/>
  </w:font>
  <w:font w:name="方正宋体S-超大字符集">
    <w:altName w:val="宋体"/>
    <w:panose1 w:val="02000000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5"/>
                            <w:rPr>
                              <w:rFonts w:hint="eastAsia" w:eastAsia="宋体"/>
                              <w:lang w:eastAsia="zh-CN"/>
                            </w:rPr>
                          </w:pPr>
                          <w:r>
                            <w:rPr>
                              <w:rFonts w:hint="eastAsia" w:ascii="仿宋_GB2312" w:hAnsi="仿宋_GB2312" w:eastAsia="仿宋_GB2312" w:cs="仿宋_GB2312"/>
                              <w:sz w:val="30"/>
                              <w:szCs w:val="30"/>
                              <w:lang w:eastAsia="zh-CN"/>
                            </w:rPr>
                            <w:fldChar w:fldCharType="begin"/>
                          </w:r>
                          <w:r>
                            <w:rPr>
                              <w:rFonts w:hint="eastAsia" w:ascii="仿宋_GB2312" w:hAnsi="仿宋_GB2312" w:eastAsia="仿宋_GB2312" w:cs="仿宋_GB2312"/>
                              <w:sz w:val="30"/>
                              <w:szCs w:val="30"/>
                              <w:lang w:eastAsia="zh-CN"/>
                            </w:rPr>
                            <w:instrText xml:space="preserve"> PAGE  \* MERGEFORMAT </w:instrText>
                          </w:r>
                          <w:r>
                            <w:rPr>
                              <w:rFonts w:hint="eastAsia" w:ascii="仿宋_GB2312" w:hAnsi="仿宋_GB2312" w:eastAsia="仿宋_GB2312" w:cs="仿宋_GB2312"/>
                              <w:sz w:val="30"/>
                              <w:szCs w:val="30"/>
                              <w:lang w:eastAsia="zh-CN"/>
                            </w:rPr>
                            <w:fldChar w:fldCharType="separate"/>
                          </w:r>
                          <w:r>
                            <w:rPr>
                              <w:rFonts w:hint="eastAsia" w:ascii="仿宋_GB2312" w:hAnsi="仿宋_GB2312" w:eastAsia="仿宋_GB2312" w:cs="仿宋_GB2312"/>
                              <w:sz w:val="30"/>
                              <w:szCs w:val="30"/>
                              <w:lang w:eastAsia="zh-CN"/>
                            </w:rPr>
                            <w:t>- 1 -</w:t>
                          </w:r>
                          <w:r>
                            <w:rPr>
                              <w:rFonts w:hint="eastAsia" w:ascii="仿宋_GB2312" w:hAnsi="仿宋_GB2312" w:eastAsia="仿宋_GB2312" w:cs="仿宋_GB2312"/>
                              <w:sz w:val="30"/>
                              <w:szCs w:val="30"/>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B3B6vbgBAABWAwAADgAAAAAAAAABACAAAAAeAQAAZHJzL2Uyb0RvYy54bWxQSwUGAAAAAAYABgBZ&#10;AQAASAUAAAAA&#10;">
              <v:fill on="f" focussize="0,0"/>
              <v:stroke on="f"/>
              <v:imagedata o:title=""/>
              <o:lock v:ext="edit" aspectratio="f"/>
              <v:textbox inset="0mm,0mm,0mm,0mm" style="mso-fit-shape-to-text:t;">
                <w:txbxContent>
                  <w:p>
                    <w:pPr>
                      <w:pStyle w:val="5"/>
                      <w:rPr>
                        <w:rFonts w:hint="eastAsia" w:eastAsia="宋体"/>
                        <w:lang w:eastAsia="zh-CN"/>
                      </w:rPr>
                    </w:pPr>
                    <w:r>
                      <w:rPr>
                        <w:rFonts w:hint="eastAsia" w:ascii="仿宋_GB2312" w:hAnsi="仿宋_GB2312" w:eastAsia="仿宋_GB2312" w:cs="仿宋_GB2312"/>
                        <w:sz w:val="30"/>
                        <w:szCs w:val="30"/>
                        <w:lang w:eastAsia="zh-CN"/>
                      </w:rPr>
                      <w:fldChar w:fldCharType="begin"/>
                    </w:r>
                    <w:r>
                      <w:rPr>
                        <w:rFonts w:hint="eastAsia" w:ascii="仿宋_GB2312" w:hAnsi="仿宋_GB2312" w:eastAsia="仿宋_GB2312" w:cs="仿宋_GB2312"/>
                        <w:sz w:val="30"/>
                        <w:szCs w:val="30"/>
                        <w:lang w:eastAsia="zh-CN"/>
                      </w:rPr>
                      <w:instrText xml:space="preserve"> PAGE  \* MERGEFORMAT </w:instrText>
                    </w:r>
                    <w:r>
                      <w:rPr>
                        <w:rFonts w:hint="eastAsia" w:ascii="仿宋_GB2312" w:hAnsi="仿宋_GB2312" w:eastAsia="仿宋_GB2312" w:cs="仿宋_GB2312"/>
                        <w:sz w:val="30"/>
                        <w:szCs w:val="30"/>
                        <w:lang w:eastAsia="zh-CN"/>
                      </w:rPr>
                      <w:fldChar w:fldCharType="separate"/>
                    </w:r>
                    <w:r>
                      <w:rPr>
                        <w:rFonts w:hint="eastAsia" w:ascii="仿宋_GB2312" w:hAnsi="仿宋_GB2312" w:eastAsia="仿宋_GB2312" w:cs="仿宋_GB2312"/>
                        <w:sz w:val="30"/>
                        <w:szCs w:val="30"/>
                        <w:lang w:eastAsia="zh-CN"/>
                      </w:rPr>
                      <w:t>- 1 -</w:t>
                    </w:r>
                    <w:r>
                      <w:rPr>
                        <w:rFonts w:hint="eastAsia" w:ascii="仿宋_GB2312" w:hAnsi="仿宋_GB2312" w:eastAsia="仿宋_GB2312" w:cs="仿宋_GB2312"/>
                        <w:sz w:val="30"/>
                        <w:szCs w:val="30"/>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3F63"/>
    <w:multiLevelType w:val="multilevel"/>
    <w:tmpl w:val="01303F63"/>
    <w:lvl w:ilvl="0" w:tentative="0">
      <w:start w:val="1"/>
      <w:numFmt w:val="chineseCountingThousand"/>
      <w:pStyle w:val="11"/>
      <w:suff w:val="nothing"/>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FB6C89"/>
    <w:rsid w:val="0B38748C"/>
    <w:rsid w:val="2408197E"/>
    <w:rsid w:val="278C5F47"/>
    <w:rsid w:val="29144D4F"/>
    <w:rsid w:val="2C904233"/>
    <w:rsid w:val="47FB6C89"/>
    <w:rsid w:val="482C1D64"/>
    <w:rsid w:val="522D2D46"/>
    <w:rsid w:val="59891997"/>
    <w:rsid w:val="5B8F68DD"/>
    <w:rsid w:val="69EB1BEA"/>
    <w:rsid w:val="73D70D87"/>
    <w:rsid w:val="77DBF1EA"/>
    <w:rsid w:val="7D685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widowControl/>
      <w:spacing w:before="100" w:beforeAutospacing="1" w:after="100" w:afterAutospacing="1"/>
      <w:jc w:val="left"/>
      <w:outlineLvl w:val="0"/>
    </w:pPr>
    <w:rPr>
      <w:rFonts w:ascii="宋体" w:hAnsi="宋体" w:eastAsia="宋体" w:cs="宋体"/>
      <w:b/>
      <w:bCs/>
      <w:kern w:val="36"/>
      <w:sz w:val="48"/>
      <w:szCs w:val="48"/>
    </w:rPr>
  </w:style>
  <w:style w:type="paragraph" w:styleId="2">
    <w:name w:val="heading 3"/>
    <w:basedOn w:val="1"/>
    <w:next w:val="1"/>
    <w:unhideWhenUsed/>
    <w:qFormat/>
    <w:uiPriority w:val="0"/>
    <w:pPr>
      <w:spacing w:before="100" w:beforeAutospacing="1" w:after="100" w:afterAutospacing="1"/>
      <w:jc w:val="left"/>
      <w:outlineLvl w:val="2"/>
    </w:pPr>
    <w:rPr>
      <w:rFonts w:ascii="宋体" w:hAnsi="宋体" w:cs="宋体"/>
      <w:b/>
      <w:bCs/>
      <w:kern w:val="0"/>
      <w:sz w:val="27"/>
      <w:szCs w:val="27"/>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4">
    <w:name w:val="Body Text Indent"/>
    <w:basedOn w:val="1"/>
    <w:qFormat/>
    <w:uiPriority w:val="0"/>
    <w:pPr>
      <w:ind w:left="420" w:leftChars="200"/>
    </w:pPr>
  </w:style>
  <w:style w:type="paragraph" w:styleId="5">
    <w:name w:val="footer"/>
    <w:basedOn w:val="1"/>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font11"/>
    <w:basedOn w:val="6"/>
    <w:qFormat/>
    <w:uiPriority w:val="0"/>
    <w:rPr>
      <w:rFonts w:hint="default" w:ascii="Times New Roman" w:hAnsi="Times New Roman" w:cs="Times New Roman"/>
      <w:color w:val="000000"/>
      <w:sz w:val="30"/>
      <w:szCs w:val="30"/>
      <w:u w:val="none"/>
    </w:rPr>
  </w:style>
  <w:style w:type="paragraph" w:customStyle="1" w:styleId="10">
    <w:name w:val="政文大标题"/>
    <w:basedOn w:val="1"/>
    <w:next w:val="1"/>
    <w:qFormat/>
    <w:uiPriority w:val="0"/>
    <w:pPr>
      <w:spacing w:line="700" w:lineRule="exact"/>
      <w:ind w:firstLine="0" w:firstLineChars="0"/>
      <w:jc w:val="center"/>
    </w:pPr>
    <w:rPr>
      <w:rFonts w:ascii="方正小标宋_GBK" w:hAnsi="方正小标宋_GBK" w:eastAsia="方正小标宋_GBK" w:cs="方正小标宋_GBK"/>
      <w:sz w:val="44"/>
      <w:szCs w:val="44"/>
    </w:rPr>
  </w:style>
  <w:style w:type="paragraph" w:customStyle="1" w:styleId="11">
    <w:name w:val="1政文标题"/>
    <w:basedOn w:val="1"/>
    <w:next w:val="1"/>
    <w:qFormat/>
    <w:uiPriority w:val="0"/>
    <w:pPr>
      <w:numPr>
        <w:ilvl w:val="0"/>
        <w:numId w:val="1"/>
      </w:numPr>
      <w:ind w:left="0" w:firstLine="708"/>
      <w:outlineLvl w:val="0"/>
    </w:pPr>
    <w:rPr>
      <w:rFonts w:ascii="方正黑体_GBK" w:hAnsi="DejaVu Sans" w:eastAsia="方正黑体_GBK"/>
      <w:bCs/>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2024-05-23T13:04:00Z</dcterms:created>
  <dc:creator>scj</dc:creator>
  <cp:lastModifiedBy>陈文</cp:lastModifiedBy>
  <dcterms:modified xsi:type="dcterms:W3CDTF">2024-05-30T03:26:01Z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