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outlineLvl w:val="1"/>
        <w:rPr>
          <w:rFonts w:eastAsia="黑体"/>
          <w:sz w:val="32"/>
          <w:szCs w:val="32"/>
        </w:rPr>
      </w:pPr>
      <w:r>
        <w:rPr>
          <w:rFonts w:eastAsia="黑体"/>
          <w:sz w:val="32"/>
          <w:szCs w:val="32"/>
        </w:rPr>
        <w:t>附</w:t>
      </w:r>
      <w:r>
        <w:rPr>
          <w:rFonts w:hint="eastAsia" w:eastAsia="黑体"/>
          <w:sz w:val="32"/>
          <w:szCs w:val="32"/>
        </w:rPr>
        <w:t>件2</w:t>
      </w:r>
    </w:p>
    <w:p>
      <w:pPr>
        <w:jc w:val="center"/>
        <w:outlineLvl w:val="1"/>
        <w:rPr>
          <w:rFonts w:eastAsia="方正小标宋简体"/>
          <w:b/>
          <w:sz w:val="44"/>
          <w:szCs w:val="44"/>
        </w:rPr>
      </w:pPr>
      <w:r>
        <w:rPr>
          <w:rFonts w:eastAsia="方正小标宋简体"/>
          <w:b/>
          <w:sz w:val="44"/>
          <w:szCs w:val="44"/>
        </w:rPr>
        <w:t>绿色</w:t>
      </w:r>
      <w:r>
        <w:rPr>
          <w:rFonts w:eastAsia="方正小标宋简体"/>
          <w:b/>
          <w:sz w:val="44"/>
          <w:szCs w:val="44"/>
          <w:lang w:val="en"/>
        </w:rPr>
        <w:t>工业</w:t>
      </w:r>
      <w:r>
        <w:rPr>
          <w:rFonts w:eastAsia="方正小标宋简体"/>
          <w:b/>
          <w:sz w:val="44"/>
          <w:szCs w:val="44"/>
        </w:rPr>
        <w:t>园</w:t>
      </w:r>
      <w:bookmarkStart w:id="0" w:name="_GoBack"/>
      <w:bookmarkEnd w:id="0"/>
      <w:r>
        <w:rPr>
          <w:rFonts w:eastAsia="方正小标宋简体"/>
          <w:b/>
          <w:sz w:val="44"/>
          <w:szCs w:val="44"/>
        </w:rPr>
        <w:t>区评价要求</w:t>
      </w:r>
    </w:p>
    <w:p>
      <w:pPr>
        <w:spacing w:line="600" w:lineRule="exact"/>
        <w:ind w:firstLine="640" w:firstLineChars="200"/>
        <w:rPr>
          <w:rFonts w:eastAsia="黑体"/>
          <w:bCs/>
          <w:sz w:val="32"/>
          <w:szCs w:val="32"/>
        </w:rPr>
      </w:pPr>
    </w:p>
    <w:p>
      <w:pPr>
        <w:spacing w:line="600" w:lineRule="exact"/>
        <w:ind w:firstLine="640" w:firstLineChars="200"/>
        <w:rPr>
          <w:rFonts w:eastAsia="黑体"/>
          <w:bCs/>
          <w:sz w:val="32"/>
          <w:szCs w:val="32"/>
        </w:rPr>
      </w:pPr>
      <w:r>
        <w:rPr>
          <w:rFonts w:eastAsia="黑体"/>
          <w:bCs/>
          <w:sz w:val="32"/>
          <w:szCs w:val="32"/>
        </w:rPr>
        <w:t>一、总则</w:t>
      </w:r>
    </w:p>
    <w:p>
      <w:pPr>
        <w:spacing w:line="600" w:lineRule="exact"/>
        <w:ind w:firstLine="630"/>
        <w:rPr>
          <w:rFonts w:ascii="楷体" w:hAnsi="楷体" w:eastAsia="楷体" w:cs="楷体"/>
          <w:sz w:val="32"/>
          <w:szCs w:val="32"/>
        </w:rPr>
      </w:pPr>
      <w:r>
        <w:rPr>
          <w:rFonts w:ascii="楷体" w:hAnsi="楷体" w:eastAsia="楷体" w:cs="楷体"/>
          <w:sz w:val="32"/>
          <w:szCs w:val="32"/>
        </w:rPr>
        <w:t>（一）基本要求</w:t>
      </w:r>
    </w:p>
    <w:p>
      <w:pPr>
        <w:spacing w:line="600" w:lineRule="exact"/>
        <w:ind w:firstLine="630"/>
        <w:rPr>
          <w:rFonts w:eastAsia="仿宋"/>
          <w:sz w:val="32"/>
          <w:szCs w:val="32"/>
        </w:rPr>
      </w:pPr>
      <w:r>
        <w:rPr>
          <w:rFonts w:eastAsia="仿宋"/>
          <w:sz w:val="32"/>
          <w:szCs w:val="32"/>
        </w:rPr>
        <w:t>1.国家和地方绿色、循环和低碳相关法律法规、政策和标准应得到有效的贯彻执行。涉及化工园区的应通过省级人民政府或其授权机构认定。</w:t>
      </w:r>
    </w:p>
    <w:p>
      <w:pPr>
        <w:spacing w:line="600" w:lineRule="exact"/>
        <w:ind w:firstLine="630"/>
        <w:rPr>
          <w:rFonts w:eastAsia="仿宋"/>
          <w:sz w:val="32"/>
          <w:szCs w:val="32"/>
        </w:rPr>
      </w:pPr>
      <w:r>
        <w:rPr>
          <w:rFonts w:eastAsia="仿宋"/>
          <w:sz w:val="32"/>
          <w:szCs w:val="32"/>
        </w:rPr>
        <w:t>2.近三年，未发生重大污染事故或重大生态破坏事件，完成国家或地方政府下达的节能减排指标，碳排放强度持续下降。</w:t>
      </w:r>
    </w:p>
    <w:p>
      <w:pPr>
        <w:spacing w:line="600" w:lineRule="exact"/>
        <w:ind w:firstLine="630"/>
        <w:rPr>
          <w:rFonts w:eastAsia="仿宋"/>
          <w:sz w:val="32"/>
          <w:szCs w:val="32"/>
        </w:rPr>
      </w:pPr>
      <w:r>
        <w:rPr>
          <w:rFonts w:eastAsia="仿宋"/>
          <w:sz w:val="32"/>
          <w:szCs w:val="32"/>
        </w:rPr>
        <w:t>3.环境质量达到国家或地方规定的环境功能区环境质量标准，园区内企业污染物达标排放，各类重点污染物排放总量均不超过国家或地方的总量控制要求。</w:t>
      </w:r>
    </w:p>
    <w:p>
      <w:pPr>
        <w:spacing w:line="600" w:lineRule="exact"/>
        <w:ind w:firstLine="630"/>
        <w:rPr>
          <w:rFonts w:eastAsia="仿宋"/>
          <w:sz w:val="32"/>
          <w:szCs w:val="32"/>
        </w:rPr>
      </w:pPr>
      <w:r>
        <w:rPr>
          <w:rFonts w:eastAsia="仿宋"/>
          <w:sz w:val="32"/>
          <w:szCs w:val="32"/>
        </w:rPr>
        <w:t>4.园区内属于《清洁生产促进法》中规定的应当实施强制性清洁生产审核的企业（评价期当年及之前公布的重点企业清洁生产审核名单中的企业）应100%实施清洁生产审核。</w:t>
      </w:r>
    </w:p>
    <w:p>
      <w:pPr>
        <w:spacing w:line="600" w:lineRule="exact"/>
        <w:ind w:firstLine="630"/>
        <w:rPr>
          <w:rFonts w:eastAsia="仿宋"/>
          <w:sz w:val="32"/>
          <w:szCs w:val="32"/>
        </w:rPr>
      </w:pPr>
      <w:r>
        <w:rPr>
          <w:rFonts w:eastAsia="仿宋"/>
          <w:sz w:val="32"/>
          <w:szCs w:val="32"/>
        </w:rPr>
        <w:t>5.园区企业不应使用国家列入淘汰目录的落后生产技术、工艺和设备，不应生产国家列入淘汰目录的产品。</w:t>
      </w:r>
    </w:p>
    <w:p>
      <w:pPr>
        <w:spacing w:line="600" w:lineRule="exact"/>
        <w:ind w:firstLine="630"/>
        <w:rPr>
          <w:rFonts w:eastAsia="仿宋"/>
          <w:sz w:val="32"/>
          <w:szCs w:val="32"/>
        </w:rPr>
      </w:pPr>
      <w:r>
        <w:rPr>
          <w:rFonts w:eastAsia="仿宋"/>
          <w:sz w:val="32"/>
          <w:szCs w:val="32"/>
        </w:rPr>
        <w:t>6.园区建有履行绿色发展工作职责的专门机构、配备2名以上专职工作人员。</w:t>
      </w:r>
    </w:p>
    <w:p>
      <w:pPr>
        <w:spacing w:line="600" w:lineRule="exact"/>
        <w:ind w:firstLine="630"/>
        <w:rPr>
          <w:rFonts w:eastAsia="仿宋"/>
          <w:sz w:val="32"/>
          <w:szCs w:val="32"/>
        </w:rPr>
      </w:pPr>
      <w:r>
        <w:rPr>
          <w:rFonts w:eastAsia="仿宋"/>
          <w:sz w:val="32"/>
          <w:szCs w:val="32"/>
        </w:rPr>
        <w:t>7.鼓励园区建立并运行环境管理体系和能源管理体系，建立园区能源监测管理平台。</w:t>
      </w:r>
    </w:p>
    <w:p>
      <w:pPr>
        <w:spacing w:line="600" w:lineRule="exact"/>
        <w:ind w:firstLine="630"/>
        <w:rPr>
          <w:rFonts w:eastAsia="仿宋"/>
          <w:sz w:val="32"/>
          <w:szCs w:val="32"/>
        </w:rPr>
      </w:pPr>
      <w:r>
        <w:rPr>
          <w:rFonts w:eastAsia="仿宋"/>
          <w:sz w:val="32"/>
          <w:szCs w:val="32"/>
        </w:rPr>
        <w:t>8.鼓励园区建设并运行风能、太阳能等可再生能源应用设施。</w:t>
      </w:r>
    </w:p>
    <w:p>
      <w:pPr>
        <w:spacing w:line="600" w:lineRule="exact"/>
        <w:ind w:firstLine="630"/>
        <w:rPr>
          <w:rFonts w:ascii="楷体" w:hAnsi="楷体" w:eastAsia="楷体" w:cs="楷体"/>
          <w:sz w:val="32"/>
          <w:szCs w:val="32"/>
        </w:rPr>
      </w:pPr>
      <w:r>
        <w:rPr>
          <w:rFonts w:ascii="楷体" w:hAnsi="楷体" w:eastAsia="楷体" w:cs="楷体"/>
          <w:sz w:val="32"/>
          <w:szCs w:val="32"/>
        </w:rPr>
        <w:t>（二）评价指标构成</w:t>
      </w:r>
    </w:p>
    <w:p>
      <w:pPr>
        <w:spacing w:line="600" w:lineRule="exact"/>
        <w:ind w:firstLine="630"/>
        <w:rPr>
          <w:rFonts w:eastAsia="仿宋_GB2312"/>
          <w:sz w:val="32"/>
          <w:szCs w:val="32"/>
        </w:rPr>
      </w:pPr>
      <w:r>
        <w:rPr>
          <w:rFonts w:hint="eastAsia" w:eastAsia="仿宋_GB2312"/>
          <w:sz w:val="32"/>
          <w:szCs w:val="32"/>
        </w:rPr>
        <w:t>绿色工业园区</w:t>
      </w:r>
      <w:r>
        <w:rPr>
          <w:rFonts w:eastAsia="仿宋_GB2312"/>
          <w:sz w:val="32"/>
          <w:szCs w:val="32"/>
        </w:rPr>
        <w:t>评价指标体系包括能源利用绿色化指标、资源利用绿色化指标、基础设施绿色化指标、产业绿色化指标、生态环境绿色化指标、运行管理绿色化指标6个方面。具体如附表</w:t>
      </w:r>
      <w:r>
        <w:rPr>
          <w:rFonts w:hint="eastAsia" w:eastAsia="仿宋_GB2312"/>
          <w:sz w:val="32"/>
          <w:szCs w:val="32"/>
        </w:rPr>
        <w:t>2.</w:t>
      </w:r>
      <w:r>
        <w:rPr>
          <w:rFonts w:eastAsia="仿宋_GB2312"/>
          <w:sz w:val="32"/>
          <w:szCs w:val="32"/>
        </w:rPr>
        <w:t>1所示。</w:t>
      </w:r>
    </w:p>
    <w:p>
      <w:pPr>
        <w:jc w:val="center"/>
        <w:rPr>
          <w:rFonts w:eastAsia="黑体"/>
          <w:sz w:val="28"/>
          <w:szCs w:val="28"/>
        </w:rPr>
      </w:pPr>
      <w:r>
        <w:rPr>
          <w:rFonts w:eastAsia="黑体"/>
          <w:sz w:val="28"/>
          <w:szCs w:val="28"/>
        </w:rPr>
        <w:t>附表</w:t>
      </w:r>
      <w:r>
        <w:rPr>
          <w:rFonts w:hint="eastAsia" w:eastAsia="黑体"/>
          <w:sz w:val="28"/>
          <w:szCs w:val="28"/>
        </w:rPr>
        <w:t>2.</w:t>
      </w:r>
      <w:r>
        <w:rPr>
          <w:rFonts w:eastAsia="黑体"/>
          <w:sz w:val="28"/>
          <w:szCs w:val="28"/>
        </w:rPr>
        <w:t xml:space="preserve">1 </w:t>
      </w:r>
      <w:r>
        <w:rPr>
          <w:rFonts w:hint="eastAsia" w:eastAsia="黑体"/>
          <w:sz w:val="28"/>
          <w:szCs w:val="28"/>
        </w:rPr>
        <w:t>绿色工业园区</w:t>
      </w:r>
      <w:r>
        <w:rPr>
          <w:rFonts w:eastAsia="黑体"/>
          <w:sz w:val="28"/>
          <w:szCs w:val="28"/>
        </w:rPr>
        <w:t>评价指标体系</w:t>
      </w:r>
    </w:p>
    <w:tbl>
      <w:tblPr>
        <w:tblStyle w:val="2"/>
        <w:tblW w:w="97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9"/>
        <w:gridCol w:w="869"/>
        <w:gridCol w:w="3680"/>
        <w:gridCol w:w="1140"/>
        <w:gridCol w:w="1276"/>
        <w:gridCol w:w="1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1459" w:type="dxa"/>
            <w:shd w:val="clear" w:color="auto" w:fill="auto"/>
            <w:noWrap w:val="0"/>
            <w:vAlign w:val="center"/>
          </w:tcPr>
          <w:p>
            <w:pPr>
              <w:adjustRightInd w:val="0"/>
              <w:snapToGrid w:val="0"/>
              <w:jc w:val="center"/>
              <w:rPr>
                <w:rFonts w:eastAsia="仿宋_GB2312"/>
                <w:b/>
                <w:kern w:val="0"/>
                <w:sz w:val="28"/>
                <w:szCs w:val="28"/>
              </w:rPr>
            </w:pPr>
            <w:r>
              <w:rPr>
                <w:rFonts w:eastAsia="仿宋_GB2312"/>
                <w:b/>
                <w:kern w:val="0"/>
                <w:sz w:val="28"/>
                <w:szCs w:val="28"/>
              </w:rPr>
              <w:t>一级指标</w:t>
            </w:r>
          </w:p>
        </w:tc>
        <w:tc>
          <w:tcPr>
            <w:tcW w:w="869" w:type="dxa"/>
            <w:shd w:val="clear" w:color="auto" w:fill="auto"/>
            <w:noWrap w:val="0"/>
            <w:vAlign w:val="center"/>
          </w:tcPr>
          <w:p>
            <w:pPr>
              <w:adjustRightInd w:val="0"/>
              <w:snapToGrid w:val="0"/>
              <w:jc w:val="center"/>
              <w:rPr>
                <w:rFonts w:eastAsia="仿宋_GB2312"/>
                <w:b/>
                <w:kern w:val="0"/>
                <w:sz w:val="28"/>
                <w:szCs w:val="28"/>
              </w:rPr>
            </w:pPr>
            <w:r>
              <w:rPr>
                <w:rFonts w:eastAsia="仿宋_GB2312"/>
                <w:b/>
                <w:kern w:val="0"/>
                <w:sz w:val="28"/>
                <w:szCs w:val="28"/>
              </w:rPr>
              <w:t>序号</w:t>
            </w:r>
          </w:p>
        </w:tc>
        <w:tc>
          <w:tcPr>
            <w:tcW w:w="3680" w:type="dxa"/>
            <w:shd w:val="clear" w:color="auto" w:fill="auto"/>
            <w:noWrap w:val="0"/>
            <w:vAlign w:val="center"/>
          </w:tcPr>
          <w:p>
            <w:pPr>
              <w:adjustRightInd w:val="0"/>
              <w:snapToGrid w:val="0"/>
              <w:ind w:firstLine="562"/>
              <w:jc w:val="center"/>
              <w:rPr>
                <w:rFonts w:eastAsia="仿宋_GB2312"/>
                <w:b/>
                <w:kern w:val="0"/>
                <w:sz w:val="28"/>
                <w:szCs w:val="28"/>
              </w:rPr>
            </w:pPr>
            <w:r>
              <w:rPr>
                <w:rFonts w:eastAsia="仿宋_GB2312"/>
                <w:b/>
                <w:kern w:val="0"/>
                <w:sz w:val="28"/>
                <w:szCs w:val="28"/>
              </w:rPr>
              <w:t>二级指标</w:t>
            </w:r>
          </w:p>
        </w:tc>
        <w:tc>
          <w:tcPr>
            <w:tcW w:w="1140" w:type="dxa"/>
            <w:shd w:val="clear" w:color="auto" w:fill="auto"/>
            <w:noWrap w:val="0"/>
            <w:vAlign w:val="center"/>
          </w:tcPr>
          <w:p>
            <w:pPr>
              <w:adjustRightInd w:val="0"/>
              <w:snapToGrid w:val="0"/>
              <w:jc w:val="center"/>
              <w:rPr>
                <w:rFonts w:eastAsia="仿宋_GB2312"/>
                <w:b/>
                <w:kern w:val="0"/>
                <w:sz w:val="28"/>
                <w:szCs w:val="28"/>
              </w:rPr>
            </w:pPr>
            <w:r>
              <w:rPr>
                <w:rFonts w:eastAsia="仿宋_GB2312"/>
                <w:b/>
                <w:kern w:val="0"/>
                <w:sz w:val="28"/>
                <w:szCs w:val="28"/>
              </w:rPr>
              <w:t>单位</w:t>
            </w:r>
          </w:p>
        </w:tc>
        <w:tc>
          <w:tcPr>
            <w:tcW w:w="1276" w:type="dxa"/>
            <w:shd w:val="clear" w:color="auto" w:fill="auto"/>
            <w:noWrap w:val="0"/>
            <w:vAlign w:val="center"/>
          </w:tcPr>
          <w:p>
            <w:pPr>
              <w:adjustRightInd w:val="0"/>
              <w:snapToGrid w:val="0"/>
              <w:jc w:val="center"/>
              <w:rPr>
                <w:rFonts w:eastAsia="仿宋_GB2312"/>
                <w:b/>
                <w:kern w:val="0"/>
                <w:sz w:val="28"/>
                <w:szCs w:val="28"/>
              </w:rPr>
            </w:pPr>
            <w:r>
              <w:rPr>
                <w:rFonts w:eastAsia="仿宋_GB2312"/>
                <w:b/>
                <w:kern w:val="0"/>
                <w:sz w:val="28"/>
                <w:szCs w:val="28"/>
              </w:rPr>
              <w:t>引领值</w:t>
            </w:r>
          </w:p>
        </w:tc>
        <w:tc>
          <w:tcPr>
            <w:tcW w:w="1363" w:type="dxa"/>
            <w:shd w:val="clear" w:color="auto" w:fill="auto"/>
            <w:noWrap w:val="0"/>
            <w:vAlign w:val="center"/>
          </w:tcPr>
          <w:p>
            <w:pPr>
              <w:adjustRightInd w:val="0"/>
              <w:snapToGrid w:val="0"/>
              <w:jc w:val="center"/>
              <w:rPr>
                <w:rFonts w:eastAsia="仿宋_GB2312"/>
                <w:b/>
                <w:kern w:val="0"/>
                <w:sz w:val="28"/>
                <w:szCs w:val="28"/>
              </w:rPr>
            </w:pPr>
            <w:r>
              <w:rPr>
                <w:rFonts w:eastAsia="仿宋_GB2312"/>
                <w:b/>
                <w:kern w:val="0"/>
                <w:sz w:val="28"/>
                <w:szCs w:val="28"/>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1459" w:type="dxa"/>
            <w:vMerge w:val="restart"/>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能源利用绿色化指标（EG）</w:t>
            </w:r>
          </w:p>
        </w:tc>
        <w:tc>
          <w:tcPr>
            <w:tcW w:w="869" w:type="dxa"/>
            <w:shd w:val="clear" w:color="auto" w:fill="auto"/>
            <w:noWrap w:val="0"/>
            <w:vAlign w:val="center"/>
          </w:tcPr>
          <w:p>
            <w:pPr>
              <w:pStyle w:val="4"/>
              <w:adjustRightInd w:val="0"/>
              <w:snapToGrid w:val="0"/>
              <w:ind w:firstLine="0" w:firstLineChars="0"/>
              <w:jc w:val="center"/>
              <w:rPr>
                <w:rFonts w:ascii="Times New Roman" w:hAnsi="Times New Roman" w:eastAsia="仿宋_GB2312"/>
                <w:kern w:val="0"/>
                <w:sz w:val="28"/>
                <w:szCs w:val="28"/>
              </w:rPr>
            </w:pPr>
            <w:r>
              <w:rPr>
                <w:rFonts w:ascii="Times New Roman" w:hAnsi="Times New Roman" w:eastAsia="仿宋_GB2312"/>
                <w:kern w:val="0"/>
                <w:sz w:val="28"/>
                <w:szCs w:val="28"/>
              </w:rPr>
              <w:t>1</w:t>
            </w:r>
          </w:p>
        </w:tc>
        <w:tc>
          <w:tcPr>
            <w:tcW w:w="368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能源产出率</w:t>
            </w:r>
          </w:p>
        </w:tc>
        <w:tc>
          <w:tcPr>
            <w:tcW w:w="114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万元/tce</w:t>
            </w:r>
          </w:p>
        </w:tc>
        <w:tc>
          <w:tcPr>
            <w:tcW w:w="1276"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3</w:t>
            </w:r>
          </w:p>
        </w:tc>
        <w:tc>
          <w:tcPr>
            <w:tcW w:w="1363"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shd w:val="clear" w:color="auto" w:fill="auto"/>
            <w:noWrap w:val="0"/>
            <w:vAlign w:val="center"/>
          </w:tcPr>
          <w:p>
            <w:pPr>
              <w:adjustRightInd w:val="0"/>
              <w:snapToGrid w:val="0"/>
              <w:ind w:firstLine="560"/>
              <w:jc w:val="center"/>
              <w:rPr>
                <w:rFonts w:eastAsia="仿宋_GB2312"/>
                <w:kern w:val="0"/>
                <w:sz w:val="28"/>
                <w:szCs w:val="28"/>
              </w:rPr>
            </w:pPr>
          </w:p>
        </w:tc>
        <w:tc>
          <w:tcPr>
            <w:tcW w:w="869" w:type="dxa"/>
            <w:shd w:val="clear" w:color="auto" w:fill="auto"/>
            <w:noWrap w:val="0"/>
            <w:vAlign w:val="center"/>
          </w:tcPr>
          <w:p>
            <w:pPr>
              <w:pStyle w:val="4"/>
              <w:adjustRightInd w:val="0"/>
              <w:snapToGrid w:val="0"/>
              <w:ind w:firstLine="0" w:firstLineChars="0"/>
              <w:jc w:val="center"/>
              <w:rPr>
                <w:rFonts w:ascii="Times New Roman" w:hAnsi="Times New Roman" w:eastAsia="仿宋_GB2312"/>
                <w:kern w:val="0"/>
                <w:sz w:val="28"/>
                <w:szCs w:val="28"/>
              </w:rPr>
            </w:pPr>
            <w:r>
              <w:rPr>
                <w:rFonts w:ascii="Times New Roman" w:hAnsi="Times New Roman" w:eastAsia="仿宋_GB2312"/>
                <w:kern w:val="0"/>
                <w:sz w:val="28"/>
                <w:szCs w:val="28"/>
              </w:rPr>
              <w:t>2</w:t>
            </w:r>
          </w:p>
        </w:tc>
        <w:tc>
          <w:tcPr>
            <w:tcW w:w="368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可再生能源使用比例</w:t>
            </w:r>
          </w:p>
        </w:tc>
        <w:tc>
          <w:tcPr>
            <w:tcW w:w="114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w:t>
            </w:r>
          </w:p>
        </w:tc>
        <w:tc>
          <w:tcPr>
            <w:tcW w:w="1276"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15</w:t>
            </w:r>
          </w:p>
        </w:tc>
        <w:tc>
          <w:tcPr>
            <w:tcW w:w="1363"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shd w:val="clear" w:color="auto" w:fill="auto"/>
            <w:noWrap w:val="0"/>
            <w:vAlign w:val="center"/>
          </w:tcPr>
          <w:p>
            <w:pPr>
              <w:adjustRightInd w:val="0"/>
              <w:snapToGrid w:val="0"/>
              <w:ind w:firstLine="560"/>
              <w:jc w:val="center"/>
              <w:rPr>
                <w:rFonts w:eastAsia="仿宋_GB2312"/>
                <w:kern w:val="0"/>
                <w:sz w:val="28"/>
                <w:szCs w:val="28"/>
              </w:rPr>
            </w:pPr>
          </w:p>
        </w:tc>
        <w:tc>
          <w:tcPr>
            <w:tcW w:w="869" w:type="dxa"/>
            <w:shd w:val="clear" w:color="auto" w:fill="auto"/>
            <w:noWrap w:val="0"/>
            <w:vAlign w:val="center"/>
          </w:tcPr>
          <w:p>
            <w:pPr>
              <w:pStyle w:val="4"/>
              <w:adjustRightInd w:val="0"/>
              <w:snapToGrid w:val="0"/>
              <w:ind w:firstLine="0" w:firstLineChars="0"/>
              <w:jc w:val="center"/>
              <w:rPr>
                <w:rFonts w:ascii="Times New Roman" w:hAnsi="Times New Roman" w:eastAsia="仿宋_GB2312"/>
                <w:kern w:val="0"/>
                <w:sz w:val="28"/>
                <w:szCs w:val="28"/>
              </w:rPr>
            </w:pPr>
            <w:r>
              <w:rPr>
                <w:rFonts w:ascii="Times New Roman" w:hAnsi="Times New Roman" w:eastAsia="仿宋_GB2312"/>
                <w:kern w:val="0"/>
                <w:sz w:val="28"/>
                <w:szCs w:val="28"/>
              </w:rPr>
              <w:t>3</w:t>
            </w:r>
          </w:p>
        </w:tc>
        <w:tc>
          <w:tcPr>
            <w:tcW w:w="368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清洁能源使用率</w:t>
            </w:r>
          </w:p>
        </w:tc>
        <w:tc>
          <w:tcPr>
            <w:tcW w:w="114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w:t>
            </w:r>
          </w:p>
        </w:tc>
        <w:tc>
          <w:tcPr>
            <w:tcW w:w="1276"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75</w:t>
            </w:r>
          </w:p>
        </w:tc>
        <w:tc>
          <w:tcPr>
            <w:tcW w:w="1363"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59" w:type="dxa"/>
            <w:vMerge w:val="restart"/>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资源利用绿色化指标</w:t>
            </w:r>
            <w:r>
              <w:rPr>
                <w:rFonts w:hint="eastAsia" w:eastAsia="仿宋_GB2312"/>
                <w:kern w:val="0"/>
                <w:sz w:val="28"/>
                <w:szCs w:val="28"/>
              </w:rPr>
              <w:t>（</w:t>
            </w:r>
            <w:r>
              <w:rPr>
                <w:rFonts w:eastAsia="仿宋_GB2312"/>
                <w:kern w:val="0"/>
                <w:sz w:val="28"/>
                <w:szCs w:val="28"/>
              </w:rPr>
              <w:t>RG</w:t>
            </w:r>
            <w:r>
              <w:rPr>
                <w:rFonts w:hint="eastAsia" w:eastAsia="仿宋_GB2312"/>
                <w:kern w:val="0"/>
                <w:sz w:val="28"/>
                <w:szCs w:val="28"/>
              </w:rPr>
              <w:t>）</w:t>
            </w:r>
          </w:p>
        </w:tc>
        <w:tc>
          <w:tcPr>
            <w:tcW w:w="869" w:type="dxa"/>
            <w:shd w:val="clear" w:color="auto" w:fill="auto"/>
            <w:noWrap w:val="0"/>
            <w:vAlign w:val="center"/>
          </w:tcPr>
          <w:p>
            <w:pPr>
              <w:pStyle w:val="4"/>
              <w:adjustRightInd w:val="0"/>
              <w:snapToGrid w:val="0"/>
              <w:ind w:firstLine="0" w:firstLineChars="0"/>
              <w:jc w:val="center"/>
              <w:rPr>
                <w:rFonts w:ascii="Times New Roman" w:hAnsi="Times New Roman" w:eastAsia="仿宋_GB2312"/>
                <w:kern w:val="0"/>
                <w:sz w:val="28"/>
                <w:szCs w:val="28"/>
              </w:rPr>
            </w:pPr>
            <w:r>
              <w:rPr>
                <w:rFonts w:ascii="Times New Roman" w:hAnsi="Times New Roman" w:eastAsia="仿宋_GB2312"/>
                <w:kern w:val="0"/>
                <w:sz w:val="28"/>
                <w:szCs w:val="28"/>
              </w:rPr>
              <w:t>4</w:t>
            </w:r>
          </w:p>
        </w:tc>
        <w:tc>
          <w:tcPr>
            <w:tcW w:w="368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水资源产出率</w:t>
            </w:r>
          </w:p>
        </w:tc>
        <w:tc>
          <w:tcPr>
            <w:tcW w:w="114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元/m</w:t>
            </w:r>
            <w:r>
              <w:rPr>
                <w:rFonts w:eastAsia="仿宋_GB2312"/>
                <w:kern w:val="0"/>
                <w:sz w:val="28"/>
                <w:szCs w:val="28"/>
                <w:vertAlign w:val="superscript"/>
              </w:rPr>
              <w:t>3</w:t>
            </w:r>
          </w:p>
        </w:tc>
        <w:tc>
          <w:tcPr>
            <w:tcW w:w="1276"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1500</w:t>
            </w:r>
          </w:p>
        </w:tc>
        <w:tc>
          <w:tcPr>
            <w:tcW w:w="1363"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shd w:val="clear" w:color="auto" w:fill="auto"/>
            <w:noWrap w:val="0"/>
            <w:vAlign w:val="center"/>
          </w:tcPr>
          <w:p>
            <w:pPr>
              <w:adjustRightInd w:val="0"/>
              <w:snapToGrid w:val="0"/>
              <w:ind w:firstLine="560"/>
              <w:jc w:val="center"/>
              <w:rPr>
                <w:rFonts w:eastAsia="仿宋_GB2312"/>
                <w:kern w:val="0"/>
                <w:sz w:val="28"/>
                <w:szCs w:val="28"/>
              </w:rPr>
            </w:pPr>
          </w:p>
        </w:tc>
        <w:tc>
          <w:tcPr>
            <w:tcW w:w="869" w:type="dxa"/>
            <w:shd w:val="clear" w:color="auto" w:fill="auto"/>
            <w:noWrap w:val="0"/>
            <w:vAlign w:val="center"/>
          </w:tcPr>
          <w:p>
            <w:pPr>
              <w:pStyle w:val="4"/>
              <w:adjustRightInd w:val="0"/>
              <w:snapToGrid w:val="0"/>
              <w:ind w:firstLine="0" w:firstLineChars="0"/>
              <w:jc w:val="center"/>
              <w:rPr>
                <w:rFonts w:ascii="Times New Roman" w:hAnsi="Times New Roman" w:eastAsia="仿宋_GB2312"/>
                <w:kern w:val="0"/>
                <w:sz w:val="28"/>
                <w:szCs w:val="28"/>
              </w:rPr>
            </w:pPr>
            <w:r>
              <w:rPr>
                <w:rFonts w:ascii="Times New Roman" w:hAnsi="Times New Roman" w:eastAsia="仿宋_GB2312"/>
                <w:kern w:val="0"/>
                <w:sz w:val="28"/>
                <w:szCs w:val="28"/>
              </w:rPr>
              <w:t>5</w:t>
            </w:r>
          </w:p>
        </w:tc>
        <w:tc>
          <w:tcPr>
            <w:tcW w:w="368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土地资源产出率</w:t>
            </w:r>
          </w:p>
        </w:tc>
        <w:tc>
          <w:tcPr>
            <w:tcW w:w="114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亿元/km</w:t>
            </w:r>
            <w:r>
              <w:rPr>
                <w:rFonts w:eastAsia="仿宋_GB2312"/>
                <w:kern w:val="0"/>
                <w:sz w:val="28"/>
                <w:szCs w:val="28"/>
                <w:vertAlign w:val="superscript"/>
              </w:rPr>
              <w:t>2</w:t>
            </w:r>
          </w:p>
        </w:tc>
        <w:tc>
          <w:tcPr>
            <w:tcW w:w="1276"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15</w:t>
            </w:r>
          </w:p>
        </w:tc>
        <w:tc>
          <w:tcPr>
            <w:tcW w:w="1363"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shd w:val="clear" w:color="auto" w:fill="auto"/>
            <w:noWrap w:val="0"/>
            <w:vAlign w:val="center"/>
          </w:tcPr>
          <w:p>
            <w:pPr>
              <w:adjustRightInd w:val="0"/>
              <w:snapToGrid w:val="0"/>
              <w:ind w:firstLine="560"/>
              <w:jc w:val="center"/>
              <w:rPr>
                <w:rFonts w:eastAsia="仿宋_GB2312"/>
                <w:kern w:val="0"/>
                <w:sz w:val="28"/>
                <w:szCs w:val="28"/>
              </w:rPr>
            </w:pPr>
          </w:p>
        </w:tc>
        <w:tc>
          <w:tcPr>
            <w:tcW w:w="869" w:type="dxa"/>
            <w:shd w:val="clear" w:color="auto" w:fill="auto"/>
            <w:noWrap w:val="0"/>
            <w:vAlign w:val="center"/>
          </w:tcPr>
          <w:p>
            <w:pPr>
              <w:pStyle w:val="4"/>
              <w:adjustRightInd w:val="0"/>
              <w:snapToGrid w:val="0"/>
              <w:ind w:firstLine="0" w:firstLineChars="0"/>
              <w:jc w:val="center"/>
              <w:rPr>
                <w:rFonts w:ascii="Times New Roman" w:hAnsi="Times New Roman" w:eastAsia="仿宋_GB2312"/>
                <w:kern w:val="0"/>
                <w:sz w:val="28"/>
                <w:szCs w:val="28"/>
              </w:rPr>
            </w:pPr>
            <w:r>
              <w:rPr>
                <w:rFonts w:ascii="Times New Roman" w:hAnsi="Times New Roman" w:eastAsia="仿宋_GB2312"/>
                <w:kern w:val="0"/>
                <w:sz w:val="28"/>
                <w:szCs w:val="28"/>
              </w:rPr>
              <w:t>6</w:t>
            </w:r>
          </w:p>
        </w:tc>
        <w:tc>
          <w:tcPr>
            <w:tcW w:w="368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工业固体废弃物综合利用率</w:t>
            </w:r>
          </w:p>
        </w:tc>
        <w:tc>
          <w:tcPr>
            <w:tcW w:w="114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w:t>
            </w:r>
          </w:p>
        </w:tc>
        <w:tc>
          <w:tcPr>
            <w:tcW w:w="1276"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95</w:t>
            </w:r>
          </w:p>
        </w:tc>
        <w:tc>
          <w:tcPr>
            <w:tcW w:w="1363"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shd w:val="clear" w:color="auto" w:fill="auto"/>
            <w:noWrap w:val="0"/>
            <w:vAlign w:val="center"/>
          </w:tcPr>
          <w:p>
            <w:pPr>
              <w:adjustRightInd w:val="0"/>
              <w:snapToGrid w:val="0"/>
              <w:ind w:firstLine="560"/>
              <w:jc w:val="center"/>
              <w:rPr>
                <w:rFonts w:eastAsia="仿宋_GB2312"/>
                <w:kern w:val="0"/>
                <w:sz w:val="28"/>
                <w:szCs w:val="28"/>
              </w:rPr>
            </w:pPr>
          </w:p>
        </w:tc>
        <w:tc>
          <w:tcPr>
            <w:tcW w:w="869" w:type="dxa"/>
            <w:shd w:val="clear" w:color="auto" w:fill="auto"/>
            <w:noWrap w:val="0"/>
            <w:vAlign w:val="center"/>
          </w:tcPr>
          <w:p>
            <w:pPr>
              <w:pStyle w:val="4"/>
              <w:adjustRightInd w:val="0"/>
              <w:snapToGrid w:val="0"/>
              <w:ind w:firstLine="0" w:firstLineChars="0"/>
              <w:jc w:val="center"/>
              <w:rPr>
                <w:rFonts w:ascii="Times New Roman" w:hAnsi="Times New Roman" w:eastAsia="仿宋_GB2312"/>
                <w:kern w:val="0"/>
                <w:sz w:val="28"/>
                <w:szCs w:val="28"/>
              </w:rPr>
            </w:pPr>
            <w:r>
              <w:rPr>
                <w:rFonts w:ascii="Times New Roman" w:hAnsi="Times New Roman" w:eastAsia="仿宋_GB2312"/>
                <w:kern w:val="0"/>
                <w:sz w:val="28"/>
                <w:szCs w:val="28"/>
              </w:rPr>
              <w:t>7</w:t>
            </w:r>
          </w:p>
        </w:tc>
        <w:tc>
          <w:tcPr>
            <w:tcW w:w="368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工业用水重复利用率</w:t>
            </w:r>
          </w:p>
        </w:tc>
        <w:tc>
          <w:tcPr>
            <w:tcW w:w="114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w:t>
            </w:r>
          </w:p>
        </w:tc>
        <w:tc>
          <w:tcPr>
            <w:tcW w:w="1276"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90</w:t>
            </w:r>
          </w:p>
        </w:tc>
        <w:tc>
          <w:tcPr>
            <w:tcW w:w="1363"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shd w:val="clear" w:color="auto" w:fill="auto"/>
            <w:noWrap w:val="0"/>
            <w:vAlign w:val="center"/>
          </w:tcPr>
          <w:p>
            <w:pPr>
              <w:adjustRightInd w:val="0"/>
              <w:snapToGrid w:val="0"/>
              <w:ind w:firstLine="560"/>
              <w:jc w:val="center"/>
              <w:rPr>
                <w:rFonts w:eastAsia="仿宋_GB2312"/>
                <w:kern w:val="0"/>
                <w:sz w:val="28"/>
                <w:szCs w:val="28"/>
              </w:rPr>
            </w:pPr>
          </w:p>
        </w:tc>
        <w:tc>
          <w:tcPr>
            <w:tcW w:w="869" w:type="dxa"/>
            <w:shd w:val="clear" w:color="auto" w:fill="auto"/>
            <w:noWrap w:val="0"/>
            <w:vAlign w:val="center"/>
          </w:tcPr>
          <w:p>
            <w:pPr>
              <w:pStyle w:val="4"/>
              <w:adjustRightInd w:val="0"/>
              <w:snapToGrid w:val="0"/>
              <w:ind w:firstLine="0" w:firstLineChars="0"/>
              <w:jc w:val="center"/>
              <w:rPr>
                <w:rFonts w:ascii="Times New Roman" w:hAnsi="Times New Roman" w:eastAsia="仿宋_GB2312"/>
                <w:kern w:val="0"/>
                <w:sz w:val="28"/>
                <w:szCs w:val="28"/>
              </w:rPr>
            </w:pPr>
            <w:r>
              <w:rPr>
                <w:rFonts w:ascii="Times New Roman" w:hAnsi="Times New Roman" w:eastAsia="仿宋_GB2312"/>
                <w:kern w:val="0"/>
                <w:sz w:val="28"/>
                <w:szCs w:val="28"/>
              </w:rPr>
              <w:t>8</w:t>
            </w:r>
          </w:p>
        </w:tc>
        <w:tc>
          <w:tcPr>
            <w:tcW w:w="368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中水回用率</w:t>
            </w:r>
          </w:p>
        </w:tc>
        <w:tc>
          <w:tcPr>
            <w:tcW w:w="114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w:t>
            </w:r>
          </w:p>
        </w:tc>
        <w:tc>
          <w:tcPr>
            <w:tcW w:w="1276"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30</w:t>
            </w:r>
          </w:p>
        </w:tc>
        <w:tc>
          <w:tcPr>
            <w:tcW w:w="1363" w:type="dxa"/>
            <w:vMerge w:val="restart"/>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4项指标选2项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shd w:val="clear" w:color="auto" w:fill="auto"/>
            <w:noWrap w:val="0"/>
            <w:vAlign w:val="center"/>
          </w:tcPr>
          <w:p>
            <w:pPr>
              <w:adjustRightInd w:val="0"/>
              <w:snapToGrid w:val="0"/>
              <w:ind w:firstLine="560"/>
              <w:jc w:val="center"/>
              <w:rPr>
                <w:rFonts w:eastAsia="仿宋_GB2312"/>
                <w:kern w:val="0"/>
                <w:sz w:val="28"/>
                <w:szCs w:val="28"/>
              </w:rPr>
            </w:pPr>
          </w:p>
        </w:tc>
        <w:tc>
          <w:tcPr>
            <w:tcW w:w="869" w:type="dxa"/>
            <w:shd w:val="clear" w:color="auto" w:fill="auto"/>
            <w:noWrap w:val="0"/>
            <w:vAlign w:val="center"/>
          </w:tcPr>
          <w:p>
            <w:pPr>
              <w:pStyle w:val="4"/>
              <w:adjustRightInd w:val="0"/>
              <w:snapToGrid w:val="0"/>
              <w:ind w:firstLine="0" w:firstLineChars="0"/>
              <w:jc w:val="center"/>
              <w:rPr>
                <w:rFonts w:ascii="Times New Roman" w:hAnsi="Times New Roman" w:eastAsia="仿宋_GB2312"/>
                <w:kern w:val="0"/>
                <w:sz w:val="28"/>
                <w:szCs w:val="28"/>
              </w:rPr>
            </w:pPr>
            <w:r>
              <w:rPr>
                <w:rFonts w:ascii="Times New Roman" w:hAnsi="Times New Roman" w:eastAsia="仿宋_GB2312"/>
                <w:kern w:val="0"/>
                <w:sz w:val="28"/>
                <w:szCs w:val="28"/>
              </w:rPr>
              <w:t>9</w:t>
            </w:r>
          </w:p>
        </w:tc>
        <w:tc>
          <w:tcPr>
            <w:tcW w:w="368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余热资源回收利用率</w:t>
            </w:r>
          </w:p>
        </w:tc>
        <w:tc>
          <w:tcPr>
            <w:tcW w:w="114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w:t>
            </w:r>
          </w:p>
        </w:tc>
        <w:tc>
          <w:tcPr>
            <w:tcW w:w="1276"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60</w:t>
            </w:r>
          </w:p>
        </w:tc>
        <w:tc>
          <w:tcPr>
            <w:tcW w:w="1363" w:type="dxa"/>
            <w:vMerge w:val="continue"/>
            <w:shd w:val="clear" w:color="auto" w:fill="auto"/>
            <w:noWrap w:val="0"/>
            <w:vAlign w:val="center"/>
          </w:tcPr>
          <w:p>
            <w:pPr>
              <w:adjustRightInd w:val="0"/>
              <w:snapToGrid w:val="0"/>
              <w:ind w:firstLine="560"/>
              <w:jc w:val="center"/>
              <w:rPr>
                <w:rFonts w:eastAsia="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shd w:val="clear" w:color="auto" w:fill="auto"/>
            <w:noWrap w:val="0"/>
            <w:vAlign w:val="center"/>
          </w:tcPr>
          <w:p>
            <w:pPr>
              <w:adjustRightInd w:val="0"/>
              <w:snapToGrid w:val="0"/>
              <w:ind w:firstLine="560"/>
              <w:jc w:val="center"/>
              <w:rPr>
                <w:rFonts w:eastAsia="仿宋_GB2312"/>
                <w:kern w:val="0"/>
                <w:sz w:val="28"/>
                <w:szCs w:val="28"/>
              </w:rPr>
            </w:pPr>
          </w:p>
        </w:tc>
        <w:tc>
          <w:tcPr>
            <w:tcW w:w="869" w:type="dxa"/>
            <w:shd w:val="clear" w:color="auto" w:fill="auto"/>
            <w:noWrap w:val="0"/>
            <w:vAlign w:val="center"/>
          </w:tcPr>
          <w:p>
            <w:pPr>
              <w:pStyle w:val="4"/>
              <w:adjustRightInd w:val="0"/>
              <w:snapToGrid w:val="0"/>
              <w:ind w:firstLine="0" w:firstLineChars="0"/>
              <w:jc w:val="center"/>
              <w:rPr>
                <w:rFonts w:ascii="Times New Roman" w:hAnsi="Times New Roman" w:eastAsia="仿宋_GB2312"/>
                <w:kern w:val="0"/>
                <w:sz w:val="28"/>
                <w:szCs w:val="28"/>
              </w:rPr>
            </w:pPr>
            <w:r>
              <w:rPr>
                <w:rFonts w:ascii="Times New Roman" w:hAnsi="Times New Roman" w:eastAsia="仿宋_GB2312"/>
                <w:kern w:val="0"/>
                <w:sz w:val="28"/>
                <w:szCs w:val="28"/>
              </w:rPr>
              <w:t>10</w:t>
            </w:r>
          </w:p>
        </w:tc>
        <w:tc>
          <w:tcPr>
            <w:tcW w:w="368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废气资源回收利用率</w:t>
            </w:r>
          </w:p>
        </w:tc>
        <w:tc>
          <w:tcPr>
            <w:tcW w:w="114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w:t>
            </w:r>
          </w:p>
        </w:tc>
        <w:tc>
          <w:tcPr>
            <w:tcW w:w="1276"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90</w:t>
            </w:r>
          </w:p>
        </w:tc>
        <w:tc>
          <w:tcPr>
            <w:tcW w:w="1363" w:type="dxa"/>
            <w:vMerge w:val="continue"/>
            <w:shd w:val="clear" w:color="auto" w:fill="auto"/>
            <w:noWrap w:val="0"/>
            <w:vAlign w:val="center"/>
          </w:tcPr>
          <w:p>
            <w:pPr>
              <w:adjustRightInd w:val="0"/>
              <w:snapToGrid w:val="0"/>
              <w:ind w:firstLine="560"/>
              <w:jc w:val="center"/>
              <w:rPr>
                <w:rFonts w:eastAsia="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shd w:val="clear" w:color="auto" w:fill="auto"/>
            <w:noWrap w:val="0"/>
            <w:vAlign w:val="center"/>
          </w:tcPr>
          <w:p>
            <w:pPr>
              <w:adjustRightInd w:val="0"/>
              <w:snapToGrid w:val="0"/>
              <w:ind w:firstLine="560"/>
              <w:jc w:val="center"/>
              <w:rPr>
                <w:rFonts w:eastAsia="仿宋_GB2312"/>
                <w:kern w:val="0"/>
                <w:sz w:val="28"/>
                <w:szCs w:val="28"/>
              </w:rPr>
            </w:pPr>
          </w:p>
        </w:tc>
        <w:tc>
          <w:tcPr>
            <w:tcW w:w="869" w:type="dxa"/>
            <w:shd w:val="clear" w:color="auto" w:fill="auto"/>
            <w:noWrap w:val="0"/>
            <w:vAlign w:val="center"/>
          </w:tcPr>
          <w:p>
            <w:pPr>
              <w:pStyle w:val="4"/>
              <w:adjustRightInd w:val="0"/>
              <w:snapToGrid w:val="0"/>
              <w:ind w:firstLine="0" w:firstLineChars="0"/>
              <w:jc w:val="center"/>
              <w:rPr>
                <w:rFonts w:ascii="Times New Roman" w:hAnsi="Times New Roman" w:eastAsia="仿宋_GB2312"/>
                <w:kern w:val="0"/>
                <w:sz w:val="28"/>
                <w:szCs w:val="28"/>
              </w:rPr>
            </w:pPr>
            <w:r>
              <w:rPr>
                <w:rFonts w:ascii="Times New Roman" w:hAnsi="Times New Roman" w:eastAsia="仿宋_GB2312"/>
                <w:kern w:val="0"/>
                <w:sz w:val="28"/>
                <w:szCs w:val="28"/>
              </w:rPr>
              <w:t>11</w:t>
            </w:r>
          </w:p>
        </w:tc>
        <w:tc>
          <w:tcPr>
            <w:tcW w:w="368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再生资源回收利用率</w:t>
            </w:r>
          </w:p>
        </w:tc>
        <w:tc>
          <w:tcPr>
            <w:tcW w:w="114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w:t>
            </w:r>
          </w:p>
        </w:tc>
        <w:tc>
          <w:tcPr>
            <w:tcW w:w="1276"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80</w:t>
            </w:r>
          </w:p>
        </w:tc>
        <w:tc>
          <w:tcPr>
            <w:tcW w:w="1363" w:type="dxa"/>
            <w:vMerge w:val="continue"/>
            <w:shd w:val="clear" w:color="auto" w:fill="auto"/>
            <w:noWrap w:val="0"/>
            <w:vAlign w:val="center"/>
          </w:tcPr>
          <w:p>
            <w:pPr>
              <w:adjustRightInd w:val="0"/>
              <w:snapToGrid w:val="0"/>
              <w:ind w:firstLine="560"/>
              <w:jc w:val="center"/>
              <w:rPr>
                <w:rFonts w:eastAsia="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restart"/>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基础设施绿色指标</w:t>
            </w:r>
          </w:p>
          <w:p>
            <w:pPr>
              <w:adjustRightInd w:val="0"/>
              <w:snapToGrid w:val="0"/>
              <w:jc w:val="center"/>
              <w:rPr>
                <w:rFonts w:eastAsia="仿宋_GB2312"/>
                <w:kern w:val="0"/>
                <w:sz w:val="28"/>
                <w:szCs w:val="28"/>
              </w:rPr>
            </w:pPr>
            <w:r>
              <w:rPr>
                <w:rFonts w:hint="eastAsia" w:eastAsia="仿宋_GB2312"/>
                <w:kern w:val="0"/>
                <w:sz w:val="28"/>
                <w:szCs w:val="28"/>
              </w:rPr>
              <w:t>（</w:t>
            </w:r>
            <w:r>
              <w:rPr>
                <w:rFonts w:eastAsia="仿宋_GB2312"/>
                <w:kern w:val="0"/>
                <w:sz w:val="28"/>
                <w:szCs w:val="28"/>
              </w:rPr>
              <w:t>IG</w:t>
            </w:r>
            <w:r>
              <w:rPr>
                <w:rFonts w:hint="eastAsia" w:eastAsia="仿宋_GB2312"/>
                <w:kern w:val="0"/>
                <w:sz w:val="28"/>
                <w:szCs w:val="28"/>
              </w:rPr>
              <w:t>）</w:t>
            </w:r>
          </w:p>
        </w:tc>
        <w:tc>
          <w:tcPr>
            <w:tcW w:w="869" w:type="dxa"/>
            <w:shd w:val="clear" w:color="auto" w:fill="auto"/>
            <w:noWrap w:val="0"/>
            <w:vAlign w:val="center"/>
          </w:tcPr>
          <w:p>
            <w:pPr>
              <w:pStyle w:val="4"/>
              <w:adjustRightInd w:val="0"/>
              <w:snapToGrid w:val="0"/>
              <w:ind w:firstLine="0" w:firstLineChars="0"/>
              <w:jc w:val="center"/>
              <w:rPr>
                <w:rFonts w:ascii="Times New Roman" w:hAnsi="Times New Roman" w:eastAsia="仿宋_GB2312"/>
                <w:kern w:val="0"/>
                <w:sz w:val="28"/>
                <w:szCs w:val="28"/>
              </w:rPr>
            </w:pPr>
            <w:r>
              <w:rPr>
                <w:rFonts w:ascii="Times New Roman" w:hAnsi="Times New Roman" w:eastAsia="仿宋_GB2312"/>
                <w:kern w:val="0"/>
                <w:sz w:val="28"/>
                <w:szCs w:val="28"/>
              </w:rPr>
              <w:t>12</w:t>
            </w:r>
          </w:p>
        </w:tc>
        <w:tc>
          <w:tcPr>
            <w:tcW w:w="368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污水集中处理设施</w:t>
            </w:r>
          </w:p>
        </w:tc>
        <w:tc>
          <w:tcPr>
            <w:tcW w:w="114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w:t>
            </w:r>
          </w:p>
        </w:tc>
        <w:tc>
          <w:tcPr>
            <w:tcW w:w="1276"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具备</w:t>
            </w:r>
          </w:p>
        </w:tc>
        <w:tc>
          <w:tcPr>
            <w:tcW w:w="1363"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shd w:val="clear" w:color="auto" w:fill="auto"/>
            <w:noWrap w:val="0"/>
            <w:vAlign w:val="center"/>
          </w:tcPr>
          <w:p>
            <w:pPr>
              <w:adjustRightInd w:val="0"/>
              <w:snapToGrid w:val="0"/>
              <w:ind w:firstLine="560"/>
              <w:jc w:val="center"/>
              <w:rPr>
                <w:rFonts w:eastAsia="仿宋_GB2312"/>
                <w:kern w:val="0"/>
                <w:sz w:val="28"/>
                <w:szCs w:val="28"/>
              </w:rPr>
            </w:pPr>
          </w:p>
        </w:tc>
        <w:tc>
          <w:tcPr>
            <w:tcW w:w="869" w:type="dxa"/>
            <w:shd w:val="clear" w:color="auto" w:fill="auto"/>
            <w:noWrap w:val="0"/>
            <w:vAlign w:val="center"/>
          </w:tcPr>
          <w:p>
            <w:pPr>
              <w:pStyle w:val="4"/>
              <w:adjustRightInd w:val="0"/>
              <w:snapToGrid w:val="0"/>
              <w:ind w:firstLine="0" w:firstLineChars="0"/>
              <w:jc w:val="center"/>
              <w:rPr>
                <w:rFonts w:ascii="Times New Roman" w:hAnsi="Times New Roman" w:eastAsia="仿宋_GB2312"/>
                <w:kern w:val="0"/>
                <w:sz w:val="28"/>
                <w:szCs w:val="28"/>
              </w:rPr>
            </w:pPr>
            <w:r>
              <w:rPr>
                <w:rFonts w:ascii="Times New Roman" w:hAnsi="Times New Roman" w:eastAsia="仿宋_GB2312"/>
                <w:kern w:val="0"/>
                <w:sz w:val="28"/>
                <w:szCs w:val="28"/>
              </w:rPr>
              <w:t>13</w:t>
            </w:r>
          </w:p>
        </w:tc>
        <w:tc>
          <w:tcPr>
            <w:tcW w:w="368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新建工业建筑中绿色建筑的比例</w:t>
            </w:r>
          </w:p>
        </w:tc>
        <w:tc>
          <w:tcPr>
            <w:tcW w:w="114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w:t>
            </w:r>
          </w:p>
        </w:tc>
        <w:tc>
          <w:tcPr>
            <w:tcW w:w="1276"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30</w:t>
            </w:r>
          </w:p>
        </w:tc>
        <w:tc>
          <w:tcPr>
            <w:tcW w:w="1363" w:type="dxa"/>
            <w:vMerge w:val="restart"/>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2项指标选1项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shd w:val="clear" w:color="auto" w:fill="auto"/>
            <w:noWrap w:val="0"/>
            <w:vAlign w:val="center"/>
          </w:tcPr>
          <w:p>
            <w:pPr>
              <w:adjustRightInd w:val="0"/>
              <w:snapToGrid w:val="0"/>
              <w:ind w:firstLine="560"/>
              <w:jc w:val="center"/>
              <w:rPr>
                <w:rFonts w:eastAsia="仿宋_GB2312"/>
                <w:kern w:val="0"/>
                <w:sz w:val="28"/>
                <w:szCs w:val="28"/>
              </w:rPr>
            </w:pPr>
          </w:p>
        </w:tc>
        <w:tc>
          <w:tcPr>
            <w:tcW w:w="869" w:type="dxa"/>
            <w:shd w:val="clear" w:color="auto" w:fill="auto"/>
            <w:noWrap w:val="0"/>
            <w:vAlign w:val="center"/>
          </w:tcPr>
          <w:p>
            <w:pPr>
              <w:pStyle w:val="4"/>
              <w:adjustRightInd w:val="0"/>
              <w:snapToGrid w:val="0"/>
              <w:ind w:firstLine="0" w:firstLineChars="0"/>
              <w:jc w:val="center"/>
              <w:rPr>
                <w:rFonts w:ascii="Times New Roman" w:hAnsi="Times New Roman" w:eastAsia="仿宋_GB2312"/>
                <w:kern w:val="0"/>
                <w:sz w:val="28"/>
                <w:szCs w:val="28"/>
              </w:rPr>
            </w:pPr>
            <w:r>
              <w:rPr>
                <w:rFonts w:ascii="Times New Roman" w:hAnsi="Times New Roman" w:eastAsia="仿宋_GB2312"/>
                <w:kern w:val="0"/>
                <w:sz w:val="28"/>
                <w:szCs w:val="28"/>
              </w:rPr>
              <w:t>14</w:t>
            </w:r>
          </w:p>
        </w:tc>
        <w:tc>
          <w:tcPr>
            <w:tcW w:w="368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新建公共建筑中绿色建筑的比例</w:t>
            </w:r>
          </w:p>
        </w:tc>
        <w:tc>
          <w:tcPr>
            <w:tcW w:w="114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w:t>
            </w:r>
          </w:p>
        </w:tc>
        <w:tc>
          <w:tcPr>
            <w:tcW w:w="1276"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60</w:t>
            </w:r>
          </w:p>
        </w:tc>
        <w:tc>
          <w:tcPr>
            <w:tcW w:w="1363" w:type="dxa"/>
            <w:vMerge w:val="continue"/>
            <w:shd w:val="clear" w:color="auto" w:fill="auto"/>
            <w:noWrap w:val="0"/>
            <w:vAlign w:val="center"/>
          </w:tcPr>
          <w:p>
            <w:pPr>
              <w:adjustRightInd w:val="0"/>
              <w:snapToGrid w:val="0"/>
              <w:ind w:firstLine="560"/>
              <w:jc w:val="center"/>
              <w:rPr>
                <w:rFonts w:eastAsia="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shd w:val="clear" w:color="auto" w:fill="auto"/>
            <w:noWrap w:val="0"/>
            <w:vAlign w:val="center"/>
          </w:tcPr>
          <w:p>
            <w:pPr>
              <w:adjustRightInd w:val="0"/>
              <w:snapToGrid w:val="0"/>
              <w:ind w:firstLine="560"/>
              <w:jc w:val="center"/>
              <w:rPr>
                <w:rFonts w:eastAsia="仿宋_GB2312"/>
                <w:kern w:val="0"/>
                <w:sz w:val="28"/>
                <w:szCs w:val="28"/>
              </w:rPr>
            </w:pPr>
          </w:p>
        </w:tc>
        <w:tc>
          <w:tcPr>
            <w:tcW w:w="869" w:type="dxa"/>
            <w:shd w:val="clear" w:color="auto" w:fill="auto"/>
            <w:noWrap w:val="0"/>
            <w:vAlign w:val="center"/>
          </w:tcPr>
          <w:p>
            <w:pPr>
              <w:pStyle w:val="4"/>
              <w:adjustRightInd w:val="0"/>
              <w:snapToGrid w:val="0"/>
              <w:ind w:firstLine="0" w:firstLineChars="0"/>
              <w:jc w:val="center"/>
              <w:rPr>
                <w:rFonts w:ascii="Times New Roman" w:hAnsi="Times New Roman" w:eastAsia="仿宋_GB2312"/>
                <w:kern w:val="0"/>
                <w:sz w:val="28"/>
                <w:szCs w:val="28"/>
              </w:rPr>
            </w:pPr>
            <w:r>
              <w:rPr>
                <w:rFonts w:ascii="Times New Roman" w:hAnsi="Times New Roman" w:eastAsia="仿宋_GB2312"/>
                <w:kern w:val="0"/>
                <w:sz w:val="28"/>
                <w:szCs w:val="28"/>
              </w:rPr>
              <w:t>15</w:t>
            </w:r>
          </w:p>
        </w:tc>
        <w:tc>
          <w:tcPr>
            <w:tcW w:w="368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500米公交站点覆盖率</w:t>
            </w:r>
          </w:p>
        </w:tc>
        <w:tc>
          <w:tcPr>
            <w:tcW w:w="114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w:t>
            </w:r>
          </w:p>
        </w:tc>
        <w:tc>
          <w:tcPr>
            <w:tcW w:w="1276"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90</w:t>
            </w:r>
          </w:p>
        </w:tc>
        <w:tc>
          <w:tcPr>
            <w:tcW w:w="1363" w:type="dxa"/>
            <w:vMerge w:val="restart"/>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2项指标选1项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shd w:val="clear" w:color="auto" w:fill="auto"/>
            <w:noWrap w:val="0"/>
            <w:vAlign w:val="center"/>
          </w:tcPr>
          <w:p>
            <w:pPr>
              <w:adjustRightInd w:val="0"/>
              <w:snapToGrid w:val="0"/>
              <w:ind w:firstLine="560"/>
              <w:jc w:val="center"/>
              <w:rPr>
                <w:rFonts w:eastAsia="仿宋_GB2312"/>
                <w:kern w:val="0"/>
                <w:sz w:val="28"/>
                <w:szCs w:val="28"/>
              </w:rPr>
            </w:pPr>
          </w:p>
        </w:tc>
        <w:tc>
          <w:tcPr>
            <w:tcW w:w="869" w:type="dxa"/>
            <w:shd w:val="clear" w:color="auto" w:fill="auto"/>
            <w:noWrap w:val="0"/>
            <w:vAlign w:val="center"/>
          </w:tcPr>
          <w:p>
            <w:pPr>
              <w:pStyle w:val="4"/>
              <w:adjustRightInd w:val="0"/>
              <w:snapToGrid w:val="0"/>
              <w:ind w:firstLine="0" w:firstLineChars="0"/>
              <w:jc w:val="center"/>
              <w:rPr>
                <w:rFonts w:ascii="Times New Roman" w:hAnsi="Times New Roman" w:eastAsia="仿宋_GB2312"/>
                <w:kern w:val="0"/>
                <w:sz w:val="28"/>
                <w:szCs w:val="28"/>
              </w:rPr>
            </w:pPr>
            <w:r>
              <w:rPr>
                <w:rFonts w:ascii="Times New Roman" w:hAnsi="Times New Roman" w:eastAsia="仿宋_GB2312"/>
                <w:kern w:val="0"/>
                <w:sz w:val="28"/>
                <w:szCs w:val="28"/>
              </w:rPr>
              <w:t>16</w:t>
            </w:r>
          </w:p>
        </w:tc>
        <w:tc>
          <w:tcPr>
            <w:tcW w:w="368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节能与新能源公交车比例</w:t>
            </w:r>
          </w:p>
        </w:tc>
        <w:tc>
          <w:tcPr>
            <w:tcW w:w="114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w:t>
            </w:r>
          </w:p>
        </w:tc>
        <w:tc>
          <w:tcPr>
            <w:tcW w:w="1276"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30</w:t>
            </w:r>
          </w:p>
        </w:tc>
        <w:tc>
          <w:tcPr>
            <w:tcW w:w="1363" w:type="dxa"/>
            <w:vMerge w:val="continue"/>
            <w:shd w:val="clear" w:color="auto" w:fill="auto"/>
            <w:noWrap w:val="0"/>
            <w:vAlign w:val="center"/>
          </w:tcPr>
          <w:p>
            <w:pPr>
              <w:adjustRightInd w:val="0"/>
              <w:snapToGrid w:val="0"/>
              <w:ind w:firstLine="560"/>
              <w:jc w:val="center"/>
              <w:rPr>
                <w:rFonts w:eastAsia="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restart"/>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产业绿色指标</w:t>
            </w:r>
          </w:p>
          <w:p>
            <w:pPr>
              <w:adjustRightInd w:val="0"/>
              <w:snapToGrid w:val="0"/>
              <w:jc w:val="center"/>
              <w:rPr>
                <w:rFonts w:eastAsia="仿宋_GB2312"/>
                <w:kern w:val="0"/>
                <w:sz w:val="28"/>
                <w:szCs w:val="28"/>
              </w:rPr>
            </w:pPr>
            <w:r>
              <w:rPr>
                <w:rFonts w:eastAsia="仿宋_GB2312"/>
                <w:kern w:val="0"/>
                <w:sz w:val="28"/>
                <w:szCs w:val="28"/>
              </w:rPr>
              <w:t>（CG）</w:t>
            </w:r>
          </w:p>
        </w:tc>
        <w:tc>
          <w:tcPr>
            <w:tcW w:w="869" w:type="dxa"/>
            <w:shd w:val="clear" w:color="auto" w:fill="auto"/>
            <w:noWrap w:val="0"/>
            <w:vAlign w:val="center"/>
          </w:tcPr>
          <w:p>
            <w:pPr>
              <w:pStyle w:val="4"/>
              <w:adjustRightInd w:val="0"/>
              <w:snapToGrid w:val="0"/>
              <w:ind w:firstLine="0" w:firstLineChars="0"/>
              <w:jc w:val="center"/>
              <w:rPr>
                <w:rFonts w:ascii="Times New Roman" w:hAnsi="Times New Roman" w:eastAsia="仿宋_GB2312"/>
                <w:kern w:val="0"/>
                <w:sz w:val="28"/>
                <w:szCs w:val="28"/>
              </w:rPr>
            </w:pPr>
            <w:r>
              <w:rPr>
                <w:rFonts w:ascii="Times New Roman" w:hAnsi="Times New Roman" w:eastAsia="仿宋_GB2312"/>
                <w:kern w:val="0"/>
                <w:sz w:val="28"/>
                <w:szCs w:val="28"/>
              </w:rPr>
              <w:t>17</w:t>
            </w:r>
          </w:p>
        </w:tc>
        <w:tc>
          <w:tcPr>
            <w:tcW w:w="368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高新技术产业产值占园区工业总产值比例</w:t>
            </w:r>
          </w:p>
        </w:tc>
        <w:tc>
          <w:tcPr>
            <w:tcW w:w="114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w:t>
            </w:r>
          </w:p>
        </w:tc>
        <w:tc>
          <w:tcPr>
            <w:tcW w:w="1276"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30</w:t>
            </w:r>
          </w:p>
        </w:tc>
        <w:tc>
          <w:tcPr>
            <w:tcW w:w="1363"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shd w:val="clear" w:color="auto" w:fill="auto"/>
            <w:noWrap w:val="0"/>
            <w:vAlign w:val="center"/>
          </w:tcPr>
          <w:p>
            <w:pPr>
              <w:adjustRightInd w:val="0"/>
              <w:snapToGrid w:val="0"/>
              <w:ind w:firstLine="560"/>
              <w:jc w:val="center"/>
              <w:rPr>
                <w:rFonts w:eastAsia="仿宋_GB2312"/>
                <w:kern w:val="0"/>
                <w:sz w:val="28"/>
                <w:szCs w:val="28"/>
              </w:rPr>
            </w:pPr>
          </w:p>
        </w:tc>
        <w:tc>
          <w:tcPr>
            <w:tcW w:w="869" w:type="dxa"/>
            <w:shd w:val="clear" w:color="auto" w:fill="auto"/>
            <w:noWrap w:val="0"/>
            <w:vAlign w:val="center"/>
          </w:tcPr>
          <w:p>
            <w:pPr>
              <w:pStyle w:val="4"/>
              <w:adjustRightInd w:val="0"/>
              <w:snapToGrid w:val="0"/>
              <w:ind w:firstLine="0" w:firstLineChars="0"/>
              <w:jc w:val="center"/>
              <w:rPr>
                <w:rFonts w:ascii="Times New Roman" w:hAnsi="Times New Roman" w:eastAsia="仿宋_GB2312"/>
                <w:kern w:val="0"/>
                <w:sz w:val="28"/>
                <w:szCs w:val="28"/>
              </w:rPr>
            </w:pPr>
            <w:r>
              <w:rPr>
                <w:rFonts w:ascii="Times New Roman" w:hAnsi="Times New Roman" w:eastAsia="仿宋_GB2312"/>
                <w:kern w:val="0"/>
                <w:sz w:val="28"/>
                <w:szCs w:val="28"/>
              </w:rPr>
              <w:t>18</w:t>
            </w:r>
          </w:p>
        </w:tc>
        <w:tc>
          <w:tcPr>
            <w:tcW w:w="368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绿色产业增加值占园区工业增加值比例</w:t>
            </w:r>
          </w:p>
        </w:tc>
        <w:tc>
          <w:tcPr>
            <w:tcW w:w="114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w:t>
            </w:r>
          </w:p>
        </w:tc>
        <w:tc>
          <w:tcPr>
            <w:tcW w:w="1276"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30</w:t>
            </w:r>
          </w:p>
        </w:tc>
        <w:tc>
          <w:tcPr>
            <w:tcW w:w="1363"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shd w:val="clear" w:color="auto" w:fill="auto"/>
            <w:noWrap w:val="0"/>
            <w:vAlign w:val="center"/>
          </w:tcPr>
          <w:p>
            <w:pPr>
              <w:adjustRightInd w:val="0"/>
              <w:snapToGrid w:val="0"/>
              <w:ind w:firstLine="560"/>
              <w:jc w:val="center"/>
              <w:rPr>
                <w:rFonts w:eastAsia="仿宋_GB2312"/>
                <w:kern w:val="0"/>
                <w:sz w:val="28"/>
                <w:szCs w:val="28"/>
              </w:rPr>
            </w:pPr>
          </w:p>
        </w:tc>
        <w:tc>
          <w:tcPr>
            <w:tcW w:w="869" w:type="dxa"/>
            <w:shd w:val="clear" w:color="auto" w:fill="auto"/>
            <w:noWrap w:val="0"/>
            <w:vAlign w:val="center"/>
          </w:tcPr>
          <w:p>
            <w:pPr>
              <w:pStyle w:val="4"/>
              <w:adjustRightInd w:val="0"/>
              <w:snapToGrid w:val="0"/>
              <w:ind w:firstLine="0" w:firstLineChars="0"/>
              <w:jc w:val="center"/>
              <w:rPr>
                <w:rFonts w:ascii="Times New Roman" w:hAnsi="Times New Roman" w:eastAsia="仿宋_GB2312"/>
                <w:kern w:val="0"/>
                <w:sz w:val="28"/>
                <w:szCs w:val="28"/>
              </w:rPr>
            </w:pPr>
            <w:r>
              <w:rPr>
                <w:rFonts w:ascii="Times New Roman" w:hAnsi="Times New Roman" w:eastAsia="仿宋_GB2312"/>
                <w:kern w:val="0"/>
                <w:sz w:val="28"/>
                <w:szCs w:val="28"/>
              </w:rPr>
              <w:t>19</w:t>
            </w:r>
          </w:p>
        </w:tc>
        <w:tc>
          <w:tcPr>
            <w:tcW w:w="368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人均工业增加值</w:t>
            </w:r>
          </w:p>
        </w:tc>
        <w:tc>
          <w:tcPr>
            <w:tcW w:w="114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万元/人</w:t>
            </w:r>
          </w:p>
        </w:tc>
        <w:tc>
          <w:tcPr>
            <w:tcW w:w="1276"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15</w:t>
            </w:r>
          </w:p>
        </w:tc>
        <w:tc>
          <w:tcPr>
            <w:tcW w:w="1363" w:type="dxa"/>
            <w:vMerge w:val="restart"/>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2项指标选1项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shd w:val="clear" w:color="auto" w:fill="auto"/>
            <w:noWrap w:val="0"/>
            <w:vAlign w:val="center"/>
          </w:tcPr>
          <w:p>
            <w:pPr>
              <w:adjustRightInd w:val="0"/>
              <w:snapToGrid w:val="0"/>
              <w:ind w:firstLine="560"/>
              <w:jc w:val="center"/>
              <w:rPr>
                <w:rFonts w:eastAsia="仿宋_GB2312"/>
                <w:kern w:val="0"/>
                <w:sz w:val="28"/>
                <w:szCs w:val="28"/>
              </w:rPr>
            </w:pPr>
          </w:p>
        </w:tc>
        <w:tc>
          <w:tcPr>
            <w:tcW w:w="869" w:type="dxa"/>
            <w:shd w:val="clear" w:color="auto" w:fill="auto"/>
            <w:noWrap w:val="0"/>
            <w:vAlign w:val="center"/>
          </w:tcPr>
          <w:p>
            <w:pPr>
              <w:pStyle w:val="4"/>
              <w:adjustRightInd w:val="0"/>
              <w:snapToGrid w:val="0"/>
              <w:ind w:firstLine="0" w:firstLineChars="0"/>
              <w:jc w:val="center"/>
              <w:rPr>
                <w:rFonts w:ascii="Times New Roman" w:hAnsi="Times New Roman" w:eastAsia="仿宋_GB2312"/>
                <w:kern w:val="0"/>
                <w:sz w:val="28"/>
                <w:szCs w:val="28"/>
              </w:rPr>
            </w:pPr>
            <w:r>
              <w:rPr>
                <w:rFonts w:ascii="Times New Roman" w:hAnsi="Times New Roman" w:eastAsia="仿宋_GB2312"/>
                <w:kern w:val="0"/>
                <w:sz w:val="28"/>
                <w:szCs w:val="28"/>
              </w:rPr>
              <w:t>20</w:t>
            </w:r>
          </w:p>
        </w:tc>
        <w:tc>
          <w:tcPr>
            <w:tcW w:w="368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现代服务业比例</w:t>
            </w:r>
          </w:p>
        </w:tc>
        <w:tc>
          <w:tcPr>
            <w:tcW w:w="114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w:t>
            </w:r>
          </w:p>
        </w:tc>
        <w:tc>
          <w:tcPr>
            <w:tcW w:w="1276"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30</w:t>
            </w:r>
          </w:p>
        </w:tc>
        <w:tc>
          <w:tcPr>
            <w:tcW w:w="1363" w:type="dxa"/>
            <w:vMerge w:val="continue"/>
            <w:shd w:val="clear" w:color="auto" w:fill="auto"/>
            <w:noWrap w:val="0"/>
            <w:vAlign w:val="center"/>
          </w:tcPr>
          <w:p>
            <w:pPr>
              <w:adjustRightInd w:val="0"/>
              <w:snapToGrid w:val="0"/>
              <w:ind w:firstLine="560"/>
              <w:jc w:val="center"/>
              <w:rPr>
                <w:rFonts w:eastAsia="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restart"/>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生态环境绿色指标</w:t>
            </w:r>
          </w:p>
          <w:p>
            <w:pPr>
              <w:adjustRightInd w:val="0"/>
              <w:snapToGrid w:val="0"/>
              <w:jc w:val="center"/>
              <w:rPr>
                <w:rFonts w:eastAsia="仿宋_GB2312"/>
                <w:kern w:val="0"/>
                <w:sz w:val="28"/>
                <w:szCs w:val="28"/>
              </w:rPr>
            </w:pPr>
            <w:r>
              <w:rPr>
                <w:rFonts w:eastAsia="仿宋_GB2312"/>
                <w:kern w:val="0"/>
                <w:sz w:val="28"/>
                <w:szCs w:val="28"/>
              </w:rPr>
              <w:t>（HG）</w:t>
            </w:r>
          </w:p>
        </w:tc>
        <w:tc>
          <w:tcPr>
            <w:tcW w:w="869" w:type="dxa"/>
            <w:shd w:val="clear" w:color="auto" w:fill="auto"/>
            <w:noWrap w:val="0"/>
            <w:vAlign w:val="center"/>
          </w:tcPr>
          <w:p>
            <w:pPr>
              <w:pStyle w:val="4"/>
              <w:adjustRightInd w:val="0"/>
              <w:snapToGrid w:val="0"/>
              <w:ind w:firstLine="0" w:firstLineChars="0"/>
              <w:jc w:val="center"/>
              <w:rPr>
                <w:rFonts w:ascii="Times New Roman" w:hAnsi="Times New Roman" w:eastAsia="仿宋_GB2312"/>
                <w:kern w:val="0"/>
                <w:sz w:val="28"/>
                <w:szCs w:val="28"/>
              </w:rPr>
            </w:pPr>
            <w:r>
              <w:rPr>
                <w:rFonts w:ascii="Times New Roman" w:hAnsi="Times New Roman" w:eastAsia="仿宋_GB2312"/>
                <w:kern w:val="0"/>
                <w:sz w:val="28"/>
                <w:szCs w:val="28"/>
              </w:rPr>
              <w:t>21</w:t>
            </w:r>
          </w:p>
        </w:tc>
        <w:tc>
          <w:tcPr>
            <w:tcW w:w="368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工业固体废弃物（含危废）处置利用率</w:t>
            </w:r>
          </w:p>
        </w:tc>
        <w:tc>
          <w:tcPr>
            <w:tcW w:w="114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w:t>
            </w:r>
          </w:p>
        </w:tc>
        <w:tc>
          <w:tcPr>
            <w:tcW w:w="1276"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100</w:t>
            </w:r>
          </w:p>
        </w:tc>
        <w:tc>
          <w:tcPr>
            <w:tcW w:w="1363"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shd w:val="clear" w:color="auto" w:fill="auto"/>
            <w:noWrap w:val="0"/>
            <w:vAlign w:val="center"/>
          </w:tcPr>
          <w:p>
            <w:pPr>
              <w:adjustRightInd w:val="0"/>
              <w:snapToGrid w:val="0"/>
              <w:ind w:firstLine="560"/>
              <w:jc w:val="center"/>
              <w:rPr>
                <w:rFonts w:eastAsia="仿宋_GB2312"/>
                <w:kern w:val="0"/>
                <w:sz w:val="28"/>
                <w:szCs w:val="28"/>
              </w:rPr>
            </w:pPr>
          </w:p>
        </w:tc>
        <w:tc>
          <w:tcPr>
            <w:tcW w:w="869" w:type="dxa"/>
            <w:shd w:val="clear" w:color="auto" w:fill="auto"/>
            <w:noWrap w:val="0"/>
            <w:vAlign w:val="center"/>
          </w:tcPr>
          <w:p>
            <w:pPr>
              <w:pStyle w:val="4"/>
              <w:adjustRightInd w:val="0"/>
              <w:snapToGrid w:val="0"/>
              <w:ind w:firstLine="0" w:firstLineChars="0"/>
              <w:jc w:val="center"/>
              <w:rPr>
                <w:rFonts w:ascii="Times New Roman" w:hAnsi="Times New Roman" w:eastAsia="仿宋_GB2312"/>
                <w:kern w:val="0"/>
                <w:sz w:val="28"/>
                <w:szCs w:val="28"/>
              </w:rPr>
            </w:pPr>
            <w:r>
              <w:rPr>
                <w:rFonts w:ascii="Times New Roman" w:hAnsi="Times New Roman" w:eastAsia="仿宋_GB2312"/>
                <w:kern w:val="0"/>
                <w:sz w:val="28"/>
                <w:szCs w:val="28"/>
              </w:rPr>
              <w:t>22</w:t>
            </w:r>
          </w:p>
        </w:tc>
        <w:tc>
          <w:tcPr>
            <w:tcW w:w="368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万元工业增加值碳排放量消减率</w:t>
            </w:r>
          </w:p>
        </w:tc>
        <w:tc>
          <w:tcPr>
            <w:tcW w:w="114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w:t>
            </w:r>
          </w:p>
        </w:tc>
        <w:tc>
          <w:tcPr>
            <w:tcW w:w="1276"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3</w:t>
            </w:r>
          </w:p>
        </w:tc>
        <w:tc>
          <w:tcPr>
            <w:tcW w:w="1363"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shd w:val="clear" w:color="auto" w:fill="auto"/>
            <w:noWrap w:val="0"/>
            <w:vAlign w:val="center"/>
          </w:tcPr>
          <w:p>
            <w:pPr>
              <w:adjustRightInd w:val="0"/>
              <w:snapToGrid w:val="0"/>
              <w:ind w:firstLine="560"/>
              <w:jc w:val="center"/>
              <w:rPr>
                <w:rFonts w:eastAsia="仿宋_GB2312"/>
                <w:kern w:val="0"/>
                <w:sz w:val="28"/>
                <w:szCs w:val="28"/>
              </w:rPr>
            </w:pPr>
          </w:p>
        </w:tc>
        <w:tc>
          <w:tcPr>
            <w:tcW w:w="869" w:type="dxa"/>
            <w:shd w:val="clear" w:color="auto" w:fill="auto"/>
            <w:noWrap w:val="0"/>
            <w:vAlign w:val="center"/>
          </w:tcPr>
          <w:p>
            <w:pPr>
              <w:pStyle w:val="4"/>
              <w:adjustRightInd w:val="0"/>
              <w:snapToGrid w:val="0"/>
              <w:ind w:firstLine="0" w:firstLineChars="0"/>
              <w:jc w:val="center"/>
              <w:rPr>
                <w:rFonts w:ascii="Times New Roman" w:hAnsi="Times New Roman" w:eastAsia="仿宋_GB2312"/>
                <w:kern w:val="0"/>
                <w:sz w:val="28"/>
                <w:szCs w:val="28"/>
              </w:rPr>
            </w:pPr>
            <w:r>
              <w:rPr>
                <w:rFonts w:ascii="Times New Roman" w:hAnsi="Times New Roman" w:eastAsia="仿宋_GB2312"/>
                <w:kern w:val="0"/>
                <w:sz w:val="28"/>
                <w:szCs w:val="28"/>
              </w:rPr>
              <w:t>23</w:t>
            </w:r>
          </w:p>
        </w:tc>
        <w:tc>
          <w:tcPr>
            <w:tcW w:w="368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单位工业增加值废水排放量</w:t>
            </w:r>
          </w:p>
        </w:tc>
        <w:tc>
          <w:tcPr>
            <w:tcW w:w="114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t/万元</w:t>
            </w:r>
          </w:p>
        </w:tc>
        <w:tc>
          <w:tcPr>
            <w:tcW w:w="1276"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5</w:t>
            </w:r>
          </w:p>
        </w:tc>
        <w:tc>
          <w:tcPr>
            <w:tcW w:w="1363"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shd w:val="clear" w:color="auto" w:fill="auto"/>
            <w:noWrap w:val="0"/>
            <w:vAlign w:val="center"/>
          </w:tcPr>
          <w:p>
            <w:pPr>
              <w:adjustRightInd w:val="0"/>
              <w:snapToGrid w:val="0"/>
              <w:ind w:firstLine="560"/>
              <w:jc w:val="center"/>
              <w:rPr>
                <w:rFonts w:eastAsia="仿宋_GB2312"/>
                <w:kern w:val="0"/>
                <w:sz w:val="28"/>
                <w:szCs w:val="28"/>
              </w:rPr>
            </w:pPr>
          </w:p>
        </w:tc>
        <w:tc>
          <w:tcPr>
            <w:tcW w:w="869" w:type="dxa"/>
            <w:shd w:val="clear" w:color="auto" w:fill="auto"/>
            <w:noWrap w:val="0"/>
            <w:vAlign w:val="center"/>
          </w:tcPr>
          <w:p>
            <w:pPr>
              <w:pStyle w:val="4"/>
              <w:adjustRightInd w:val="0"/>
              <w:snapToGrid w:val="0"/>
              <w:ind w:firstLine="0" w:firstLineChars="0"/>
              <w:jc w:val="center"/>
              <w:rPr>
                <w:rFonts w:ascii="Times New Roman" w:hAnsi="Times New Roman" w:eastAsia="仿宋_GB2312"/>
                <w:kern w:val="0"/>
                <w:sz w:val="28"/>
                <w:szCs w:val="28"/>
              </w:rPr>
            </w:pPr>
            <w:r>
              <w:rPr>
                <w:rFonts w:ascii="Times New Roman" w:hAnsi="Times New Roman" w:eastAsia="仿宋_GB2312"/>
                <w:kern w:val="0"/>
                <w:sz w:val="28"/>
                <w:szCs w:val="28"/>
              </w:rPr>
              <w:t>24</w:t>
            </w:r>
          </w:p>
        </w:tc>
        <w:tc>
          <w:tcPr>
            <w:tcW w:w="368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主要污染物弹性系数</w:t>
            </w:r>
          </w:p>
        </w:tc>
        <w:tc>
          <w:tcPr>
            <w:tcW w:w="114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w:t>
            </w:r>
          </w:p>
        </w:tc>
        <w:tc>
          <w:tcPr>
            <w:tcW w:w="1276"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0.3</w:t>
            </w:r>
          </w:p>
        </w:tc>
        <w:tc>
          <w:tcPr>
            <w:tcW w:w="1363"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shd w:val="clear" w:color="auto" w:fill="auto"/>
            <w:noWrap w:val="0"/>
            <w:vAlign w:val="center"/>
          </w:tcPr>
          <w:p>
            <w:pPr>
              <w:adjustRightInd w:val="0"/>
              <w:snapToGrid w:val="0"/>
              <w:ind w:firstLine="560"/>
              <w:jc w:val="center"/>
              <w:rPr>
                <w:rFonts w:eastAsia="仿宋_GB2312"/>
                <w:kern w:val="0"/>
                <w:sz w:val="28"/>
                <w:szCs w:val="28"/>
              </w:rPr>
            </w:pPr>
          </w:p>
        </w:tc>
        <w:tc>
          <w:tcPr>
            <w:tcW w:w="869" w:type="dxa"/>
            <w:shd w:val="clear" w:color="auto" w:fill="auto"/>
            <w:noWrap w:val="0"/>
            <w:vAlign w:val="center"/>
          </w:tcPr>
          <w:p>
            <w:pPr>
              <w:pStyle w:val="4"/>
              <w:adjustRightInd w:val="0"/>
              <w:snapToGrid w:val="0"/>
              <w:ind w:firstLine="0" w:firstLineChars="0"/>
              <w:jc w:val="center"/>
              <w:rPr>
                <w:rFonts w:ascii="Times New Roman" w:hAnsi="Times New Roman" w:eastAsia="仿宋_GB2312"/>
                <w:kern w:val="0"/>
                <w:sz w:val="28"/>
                <w:szCs w:val="28"/>
              </w:rPr>
            </w:pPr>
            <w:r>
              <w:rPr>
                <w:rFonts w:ascii="Times New Roman" w:hAnsi="Times New Roman" w:eastAsia="仿宋_GB2312"/>
                <w:kern w:val="0"/>
                <w:sz w:val="28"/>
                <w:szCs w:val="28"/>
              </w:rPr>
              <w:t>25</w:t>
            </w:r>
          </w:p>
        </w:tc>
        <w:tc>
          <w:tcPr>
            <w:tcW w:w="368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园区空气质量优良率</w:t>
            </w:r>
          </w:p>
        </w:tc>
        <w:tc>
          <w:tcPr>
            <w:tcW w:w="114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w:t>
            </w:r>
          </w:p>
        </w:tc>
        <w:tc>
          <w:tcPr>
            <w:tcW w:w="1276"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80</w:t>
            </w:r>
          </w:p>
        </w:tc>
        <w:tc>
          <w:tcPr>
            <w:tcW w:w="1363"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shd w:val="clear" w:color="auto" w:fill="auto"/>
            <w:noWrap w:val="0"/>
            <w:vAlign w:val="center"/>
          </w:tcPr>
          <w:p>
            <w:pPr>
              <w:adjustRightInd w:val="0"/>
              <w:snapToGrid w:val="0"/>
              <w:ind w:firstLine="560"/>
              <w:jc w:val="center"/>
              <w:rPr>
                <w:rFonts w:eastAsia="仿宋_GB2312"/>
                <w:kern w:val="0"/>
                <w:sz w:val="28"/>
                <w:szCs w:val="28"/>
              </w:rPr>
            </w:pPr>
          </w:p>
        </w:tc>
        <w:tc>
          <w:tcPr>
            <w:tcW w:w="869" w:type="dxa"/>
            <w:shd w:val="clear" w:color="auto" w:fill="auto"/>
            <w:noWrap w:val="0"/>
            <w:vAlign w:val="center"/>
          </w:tcPr>
          <w:p>
            <w:pPr>
              <w:pStyle w:val="4"/>
              <w:adjustRightInd w:val="0"/>
              <w:snapToGrid w:val="0"/>
              <w:ind w:firstLine="0" w:firstLineChars="0"/>
              <w:jc w:val="center"/>
              <w:rPr>
                <w:rFonts w:ascii="Times New Roman" w:hAnsi="Times New Roman" w:eastAsia="仿宋_GB2312"/>
                <w:kern w:val="0"/>
                <w:sz w:val="28"/>
                <w:szCs w:val="28"/>
              </w:rPr>
            </w:pPr>
            <w:r>
              <w:rPr>
                <w:rFonts w:ascii="Times New Roman" w:hAnsi="Times New Roman" w:eastAsia="仿宋_GB2312"/>
                <w:kern w:val="0"/>
                <w:sz w:val="28"/>
                <w:szCs w:val="28"/>
              </w:rPr>
              <w:t>26</w:t>
            </w:r>
          </w:p>
        </w:tc>
        <w:tc>
          <w:tcPr>
            <w:tcW w:w="368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绿化覆盖率</w:t>
            </w:r>
          </w:p>
        </w:tc>
        <w:tc>
          <w:tcPr>
            <w:tcW w:w="114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w:t>
            </w:r>
          </w:p>
        </w:tc>
        <w:tc>
          <w:tcPr>
            <w:tcW w:w="1276"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30</w:t>
            </w:r>
          </w:p>
        </w:tc>
        <w:tc>
          <w:tcPr>
            <w:tcW w:w="1363" w:type="dxa"/>
            <w:vMerge w:val="restart"/>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3项指标选1项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shd w:val="clear" w:color="auto" w:fill="auto"/>
            <w:noWrap w:val="0"/>
            <w:vAlign w:val="center"/>
          </w:tcPr>
          <w:p>
            <w:pPr>
              <w:adjustRightInd w:val="0"/>
              <w:snapToGrid w:val="0"/>
              <w:ind w:firstLine="560"/>
              <w:jc w:val="center"/>
              <w:rPr>
                <w:rFonts w:eastAsia="仿宋_GB2312"/>
                <w:kern w:val="0"/>
                <w:sz w:val="28"/>
                <w:szCs w:val="28"/>
              </w:rPr>
            </w:pPr>
          </w:p>
        </w:tc>
        <w:tc>
          <w:tcPr>
            <w:tcW w:w="869" w:type="dxa"/>
            <w:shd w:val="clear" w:color="auto" w:fill="auto"/>
            <w:noWrap w:val="0"/>
            <w:vAlign w:val="center"/>
          </w:tcPr>
          <w:p>
            <w:pPr>
              <w:pStyle w:val="4"/>
              <w:adjustRightInd w:val="0"/>
              <w:snapToGrid w:val="0"/>
              <w:ind w:firstLine="0" w:firstLineChars="0"/>
              <w:jc w:val="center"/>
              <w:rPr>
                <w:rFonts w:ascii="Times New Roman" w:hAnsi="Times New Roman" w:eastAsia="仿宋_GB2312"/>
                <w:kern w:val="0"/>
                <w:sz w:val="28"/>
                <w:szCs w:val="28"/>
              </w:rPr>
            </w:pPr>
            <w:r>
              <w:rPr>
                <w:rFonts w:ascii="Times New Roman" w:hAnsi="Times New Roman" w:eastAsia="仿宋_GB2312"/>
                <w:kern w:val="0"/>
                <w:sz w:val="28"/>
                <w:szCs w:val="28"/>
              </w:rPr>
              <w:t>27</w:t>
            </w:r>
          </w:p>
        </w:tc>
        <w:tc>
          <w:tcPr>
            <w:tcW w:w="368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道路遮荫比例</w:t>
            </w:r>
          </w:p>
        </w:tc>
        <w:tc>
          <w:tcPr>
            <w:tcW w:w="114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w:t>
            </w:r>
          </w:p>
        </w:tc>
        <w:tc>
          <w:tcPr>
            <w:tcW w:w="1276"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80</w:t>
            </w:r>
          </w:p>
        </w:tc>
        <w:tc>
          <w:tcPr>
            <w:tcW w:w="1363" w:type="dxa"/>
            <w:vMerge w:val="continue"/>
            <w:shd w:val="clear" w:color="auto" w:fill="auto"/>
            <w:noWrap w:val="0"/>
            <w:vAlign w:val="center"/>
          </w:tcPr>
          <w:p>
            <w:pPr>
              <w:adjustRightInd w:val="0"/>
              <w:snapToGrid w:val="0"/>
              <w:jc w:val="center"/>
              <w:rPr>
                <w:rFonts w:eastAsia="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shd w:val="clear" w:color="auto" w:fill="auto"/>
            <w:noWrap w:val="0"/>
            <w:vAlign w:val="center"/>
          </w:tcPr>
          <w:p>
            <w:pPr>
              <w:adjustRightInd w:val="0"/>
              <w:snapToGrid w:val="0"/>
              <w:ind w:firstLine="560"/>
              <w:jc w:val="center"/>
              <w:rPr>
                <w:rFonts w:eastAsia="仿宋_GB2312"/>
                <w:kern w:val="0"/>
                <w:sz w:val="28"/>
                <w:szCs w:val="28"/>
              </w:rPr>
            </w:pPr>
          </w:p>
        </w:tc>
        <w:tc>
          <w:tcPr>
            <w:tcW w:w="869" w:type="dxa"/>
            <w:shd w:val="clear" w:color="auto" w:fill="auto"/>
            <w:noWrap w:val="0"/>
            <w:vAlign w:val="center"/>
          </w:tcPr>
          <w:p>
            <w:pPr>
              <w:pStyle w:val="4"/>
              <w:adjustRightInd w:val="0"/>
              <w:snapToGrid w:val="0"/>
              <w:ind w:firstLine="0" w:firstLineChars="0"/>
              <w:jc w:val="center"/>
              <w:rPr>
                <w:rFonts w:ascii="Times New Roman" w:hAnsi="Times New Roman" w:eastAsia="仿宋_GB2312"/>
                <w:kern w:val="0"/>
                <w:sz w:val="28"/>
                <w:szCs w:val="28"/>
              </w:rPr>
            </w:pPr>
            <w:r>
              <w:rPr>
                <w:rFonts w:ascii="Times New Roman" w:hAnsi="Times New Roman" w:eastAsia="仿宋_GB2312"/>
                <w:kern w:val="0"/>
                <w:sz w:val="28"/>
                <w:szCs w:val="28"/>
              </w:rPr>
              <w:t>28</w:t>
            </w:r>
          </w:p>
        </w:tc>
        <w:tc>
          <w:tcPr>
            <w:tcW w:w="368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露天停车场遮荫比例</w:t>
            </w:r>
          </w:p>
        </w:tc>
        <w:tc>
          <w:tcPr>
            <w:tcW w:w="114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w:t>
            </w:r>
          </w:p>
        </w:tc>
        <w:tc>
          <w:tcPr>
            <w:tcW w:w="1276"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80</w:t>
            </w:r>
          </w:p>
        </w:tc>
        <w:tc>
          <w:tcPr>
            <w:tcW w:w="1363" w:type="dxa"/>
            <w:vMerge w:val="continue"/>
            <w:shd w:val="clear" w:color="auto" w:fill="auto"/>
            <w:noWrap w:val="0"/>
            <w:vAlign w:val="center"/>
          </w:tcPr>
          <w:p>
            <w:pPr>
              <w:adjustRightInd w:val="0"/>
              <w:snapToGrid w:val="0"/>
              <w:ind w:firstLine="560"/>
              <w:jc w:val="center"/>
              <w:rPr>
                <w:rFonts w:eastAsia="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restart"/>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运行管理绿色指标</w:t>
            </w:r>
          </w:p>
          <w:p>
            <w:pPr>
              <w:adjustRightInd w:val="0"/>
              <w:snapToGrid w:val="0"/>
              <w:jc w:val="center"/>
              <w:rPr>
                <w:rFonts w:eastAsia="仿宋_GB2312"/>
                <w:kern w:val="0"/>
                <w:sz w:val="28"/>
                <w:szCs w:val="28"/>
              </w:rPr>
            </w:pPr>
            <w:r>
              <w:rPr>
                <w:rFonts w:eastAsia="仿宋_GB2312"/>
                <w:kern w:val="0"/>
                <w:sz w:val="28"/>
                <w:szCs w:val="28"/>
              </w:rPr>
              <w:t>（MG）</w:t>
            </w:r>
          </w:p>
        </w:tc>
        <w:tc>
          <w:tcPr>
            <w:tcW w:w="869" w:type="dxa"/>
            <w:shd w:val="clear" w:color="auto" w:fill="auto"/>
            <w:noWrap w:val="0"/>
            <w:vAlign w:val="center"/>
          </w:tcPr>
          <w:p>
            <w:pPr>
              <w:pStyle w:val="4"/>
              <w:adjustRightInd w:val="0"/>
              <w:snapToGrid w:val="0"/>
              <w:ind w:firstLine="0" w:firstLineChars="0"/>
              <w:jc w:val="center"/>
              <w:rPr>
                <w:rFonts w:ascii="Times New Roman" w:hAnsi="Times New Roman" w:eastAsia="仿宋_GB2312"/>
                <w:kern w:val="0"/>
                <w:sz w:val="28"/>
                <w:szCs w:val="28"/>
              </w:rPr>
            </w:pPr>
            <w:r>
              <w:rPr>
                <w:rFonts w:ascii="Times New Roman" w:hAnsi="Times New Roman" w:eastAsia="仿宋_GB2312"/>
                <w:kern w:val="0"/>
                <w:sz w:val="28"/>
                <w:szCs w:val="28"/>
              </w:rPr>
              <w:t>29</w:t>
            </w:r>
          </w:p>
        </w:tc>
        <w:tc>
          <w:tcPr>
            <w:tcW w:w="3680" w:type="dxa"/>
            <w:shd w:val="clear" w:color="auto" w:fill="auto"/>
            <w:noWrap w:val="0"/>
            <w:vAlign w:val="center"/>
          </w:tcPr>
          <w:p>
            <w:pPr>
              <w:adjustRightInd w:val="0"/>
              <w:snapToGrid w:val="0"/>
              <w:jc w:val="center"/>
              <w:rPr>
                <w:rFonts w:eastAsia="仿宋_GB2312"/>
                <w:kern w:val="0"/>
                <w:sz w:val="28"/>
                <w:szCs w:val="28"/>
              </w:rPr>
            </w:pPr>
            <w:r>
              <w:rPr>
                <w:rFonts w:hint="eastAsia" w:eastAsia="仿宋_GB2312"/>
                <w:kern w:val="0"/>
                <w:sz w:val="28"/>
                <w:szCs w:val="28"/>
              </w:rPr>
              <w:t>绿色工业园区</w:t>
            </w:r>
            <w:r>
              <w:rPr>
                <w:rFonts w:eastAsia="仿宋_GB2312"/>
                <w:kern w:val="0"/>
                <w:sz w:val="28"/>
                <w:szCs w:val="28"/>
              </w:rPr>
              <w:t>标准体系完善程度</w:t>
            </w:r>
          </w:p>
        </w:tc>
        <w:tc>
          <w:tcPr>
            <w:tcW w:w="114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w:t>
            </w:r>
          </w:p>
        </w:tc>
        <w:tc>
          <w:tcPr>
            <w:tcW w:w="1276"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完善</w:t>
            </w:r>
          </w:p>
        </w:tc>
        <w:tc>
          <w:tcPr>
            <w:tcW w:w="1363"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shd w:val="clear" w:color="auto" w:fill="auto"/>
            <w:noWrap w:val="0"/>
            <w:vAlign w:val="center"/>
          </w:tcPr>
          <w:p>
            <w:pPr>
              <w:adjustRightInd w:val="0"/>
              <w:snapToGrid w:val="0"/>
              <w:ind w:firstLine="560"/>
              <w:jc w:val="center"/>
              <w:rPr>
                <w:rFonts w:eastAsia="仿宋_GB2312"/>
                <w:kern w:val="0"/>
                <w:sz w:val="28"/>
                <w:szCs w:val="28"/>
              </w:rPr>
            </w:pPr>
          </w:p>
        </w:tc>
        <w:tc>
          <w:tcPr>
            <w:tcW w:w="869" w:type="dxa"/>
            <w:shd w:val="clear" w:color="auto" w:fill="auto"/>
            <w:noWrap w:val="0"/>
            <w:vAlign w:val="center"/>
          </w:tcPr>
          <w:p>
            <w:pPr>
              <w:pStyle w:val="4"/>
              <w:adjustRightInd w:val="0"/>
              <w:snapToGrid w:val="0"/>
              <w:ind w:firstLine="0" w:firstLineChars="0"/>
              <w:jc w:val="center"/>
              <w:rPr>
                <w:rFonts w:ascii="Times New Roman" w:hAnsi="Times New Roman" w:eastAsia="仿宋_GB2312"/>
                <w:kern w:val="0"/>
                <w:sz w:val="28"/>
                <w:szCs w:val="28"/>
              </w:rPr>
            </w:pPr>
            <w:r>
              <w:rPr>
                <w:rFonts w:ascii="Times New Roman" w:hAnsi="Times New Roman" w:eastAsia="仿宋_GB2312"/>
                <w:kern w:val="0"/>
                <w:sz w:val="28"/>
                <w:szCs w:val="28"/>
              </w:rPr>
              <w:t>30</w:t>
            </w:r>
          </w:p>
        </w:tc>
        <w:tc>
          <w:tcPr>
            <w:tcW w:w="368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编制</w:t>
            </w:r>
            <w:r>
              <w:rPr>
                <w:rFonts w:hint="eastAsia" w:eastAsia="仿宋_GB2312"/>
                <w:kern w:val="0"/>
                <w:sz w:val="28"/>
                <w:szCs w:val="28"/>
              </w:rPr>
              <w:t>绿色工业园区</w:t>
            </w:r>
            <w:r>
              <w:rPr>
                <w:rFonts w:eastAsia="仿宋_GB2312"/>
                <w:kern w:val="0"/>
                <w:sz w:val="28"/>
                <w:szCs w:val="28"/>
              </w:rPr>
              <w:t>发展规划</w:t>
            </w:r>
          </w:p>
        </w:tc>
        <w:tc>
          <w:tcPr>
            <w:tcW w:w="114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w:t>
            </w:r>
          </w:p>
        </w:tc>
        <w:tc>
          <w:tcPr>
            <w:tcW w:w="1276"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是</w:t>
            </w:r>
          </w:p>
        </w:tc>
        <w:tc>
          <w:tcPr>
            <w:tcW w:w="1363"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shd w:val="clear" w:color="auto" w:fill="auto"/>
            <w:noWrap w:val="0"/>
            <w:vAlign w:val="center"/>
          </w:tcPr>
          <w:p>
            <w:pPr>
              <w:adjustRightInd w:val="0"/>
              <w:snapToGrid w:val="0"/>
              <w:ind w:firstLine="560"/>
              <w:jc w:val="center"/>
              <w:rPr>
                <w:rFonts w:eastAsia="仿宋_GB2312"/>
                <w:kern w:val="0"/>
                <w:sz w:val="28"/>
                <w:szCs w:val="28"/>
              </w:rPr>
            </w:pPr>
          </w:p>
        </w:tc>
        <w:tc>
          <w:tcPr>
            <w:tcW w:w="869" w:type="dxa"/>
            <w:shd w:val="clear" w:color="auto" w:fill="auto"/>
            <w:noWrap w:val="0"/>
            <w:vAlign w:val="center"/>
          </w:tcPr>
          <w:p>
            <w:pPr>
              <w:pStyle w:val="4"/>
              <w:adjustRightInd w:val="0"/>
              <w:snapToGrid w:val="0"/>
              <w:ind w:firstLine="0" w:firstLineChars="0"/>
              <w:jc w:val="center"/>
              <w:rPr>
                <w:rFonts w:ascii="Times New Roman" w:hAnsi="Times New Roman" w:eastAsia="仿宋_GB2312"/>
                <w:kern w:val="0"/>
                <w:sz w:val="28"/>
                <w:szCs w:val="28"/>
              </w:rPr>
            </w:pPr>
            <w:r>
              <w:rPr>
                <w:rFonts w:ascii="Times New Roman" w:hAnsi="Times New Roman" w:eastAsia="仿宋_GB2312"/>
                <w:kern w:val="0"/>
                <w:sz w:val="28"/>
                <w:szCs w:val="28"/>
              </w:rPr>
              <w:t>31</w:t>
            </w:r>
          </w:p>
        </w:tc>
        <w:tc>
          <w:tcPr>
            <w:tcW w:w="3680" w:type="dxa"/>
            <w:shd w:val="clear" w:color="auto" w:fill="auto"/>
            <w:noWrap w:val="0"/>
            <w:vAlign w:val="center"/>
          </w:tcPr>
          <w:p>
            <w:pPr>
              <w:adjustRightInd w:val="0"/>
              <w:snapToGrid w:val="0"/>
              <w:jc w:val="center"/>
              <w:rPr>
                <w:rFonts w:eastAsia="仿宋_GB2312"/>
                <w:kern w:val="0"/>
                <w:sz w:val="28"/>
                <w:szCs w:val="28"/>
              </w:rPr>
            </w:pPr>
            <w:r>
              <w:rPr>
                <w:rFonts w:hint="eastAsia" w:eastAsia="仿宋_GB2312"/>
                <w:kern w:val="0"/>
                <w:sz w:val="28"/>
                <w:szCs w:val="28"/>
              </w:rPr>
              <w:t>绿色工业园区</w:t>
            </w:r>
            <w:r>
              <w:rPr>
                <w:rFonts w:eastAsia="仿宋_GB2312"/>
                <w:kern w:val="0"/>
                <w:sz w:val="28"/>
                <w:szCs w:val="28"/>
              </w:rPr>
              <w:t>信息平台完善程度</w:t>
            </w:r>
          </w:p>
        </w:tc>
        <w:tc>
          <w:tcPr>
            <w:tcW w:w="1140"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w:t>
            </w:r>
          </w:p>
        </w:tc>
        <w:tc>
          <w:tcPr>
            <w:tcW w:w="1276"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完善</w:t>
            </w:r>
          </w:p>
        </w:tc>
        <w:tc>
          <w:tcPr>
            <w:tcW w:w="1363" w:type="dxa"/>
            <w:shd w:val="clear" w:color="auto" w:fill="auto"/>
            <w:noWrap w:val="0"/>
            <w:vAlign w:val="center"/>
          </w:tcPr>
          <w:p>
            <w:pPr>
              <w:adjustRightInd w:val="0"/>
              <w:snapToGrid w:val="0"/>
              <w:jc w:val="center"/>
              <w:rPr>
                <w:rFonts w:eastAsia="仿宋_GB2312"/>
                <w:kern w:val="0"/>
                <w:sz w:val="28"/>
                <w:szCs w:val="28"/>
              </w:rPr>
            </w:pPr>
            <w:r>
              <w:rPr>
                <w:rFonts w:eastAsia="仿宋_GB2312"/>
                <w:kern w:val="0"/>
                <w:sz w:val="28"/>
                <w:szCs w:val="28"/>
              </w:rPr>
              <w:t>必选</w:t>
            </w:r>
          </w:p>
        </w:tc>
      </w:tr>
    </w:tbl>
    <w:p>
      <w:pPr>
        <w:ind w:firstLine="630"/>
        <w:rPr>
          <w:rFonts w:ascii="楷体" w:hAnsi="楷体" w:eastAsia="楷体" w:cs="楷体"/>
          <w:sz w:val="32"/>
          <w:szCs w:val="32"/>
        </w:rPr>
      </w:pPr>
      <w:r>
        <w:rPr>
          <w:rFonts w:ascii="楷体" w:hAnsi="楷体" w:eastAsia="楷体" w:cs="楷体"/>
          <w:sz w:val="32"/>
          <w:szCs w:val="32"/>
        </w:rPr>
        <w:t>（三）评价方法</w:t>
      </w:r>
    </w:p>
    <w:p>
      <w:pPr>
        <w:ind w:firstLine="630"/>
        <w:rPr>
          <w:rFonts w:eastAsia="仿宋_GB2312"/>
          <w:sz w:val="32"/>
          <w:szCs w:val="32"/>
        </w:rPr>
      </w:pPr>
      <w:r>
        <w:rPr>
          <w:rFonts w:eastAsia="仿宋_GB2312"/>
          <w:sz w:val="32"/>
          <w:szCs w:val="32"/>
        </w:rPr>
        <w:t>工业园区绿色指数的计算方法如下面公式所示。</w:t>
      </w:r>
    </w:p>
    <w:p>
      <w:pPr>
        <w:ind w:firstLine="630"/>
        <w:rPr>
          <w:rFonts w:hint="eastAsia" w:eastAsia="仿宋_GB2312"/>
          <w:sz w:val="32"/>
          <w:szCs w:val="32"/>
        </w:rPr>
      </w:pPr>
      <w:r>
        <w:rPr>
          <w:rFonts w:hint="eastAsia" w:eastAsia="仿宋_GB2312"/>
          <w:sz w:val="32"/>
          <w:szCs w:val="32"/>
        </w:rPr>
        <w:drawing>
          <wp:inline distT="0" distB="0" distL="114300" distR="114300">
            <wp:extent cx="5152390" cy="659130"/>
            <wp:effectExtent l="0" t="0" r="7620" b="10160"/>
            <wp:docPr id="1" name="图片 1" descr="截图录屏_选择区域_20240206145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截图录屏_选择区域_20240206145305"/>
                    <pic:cNvPicPr>
                      <a:picLocks noChangeAspect="1"/>
                    </pic:cNvPicPr>
                  </pic:nvPicPr>
                  <pic:blipFill>
                    <a:blip r:embed="rId4"/>
                    <a:stretch>
                      <a:fillRect/>
                    </a:stretch>
                  </pic:blipFill>
                  <pic:spPr>
                    <a:xfrm>
                      <a:off x="0" y="0"/>
                      <a:ext cx="5152390" cy="659130"/>
                    </a:xfrm>
                    <a:prstGeom prst="rect">
                      <a:avLst/>
                    </a:prstGeom>
                    <a:noFill/>
                    <a:ln>
                      <a:noFill/>
                    </a:ln>
                  </pic:spPr>
                </pic:pic>
              </a:graphicData>
            </a:graphic>
          </wp:inline>
        </w:drawing>
      </w:r>
    </w:p>
    <w:p>
      <w:pPr>
        <w:pStyle w:val="5"/>
        <w:spacing w:line="600" w:lineRule="exact"/>
        <w:ind w:firstLine="640"/>
        <w:rPr>
          <w:rFonts w:ascii="Times New Roman" w:eastAsia="仿宋_GB2312"/>
          <w:sz w:val="32"/>
          <w:szCs w:val="32"/>
        </w:rPr>
      </w:pPr>
      <w:r>
        <w:rPr>
          <w:rFonts w:ascii="Times New Roman" w:eastAsia="仿宋_GB2312"/>
          <w:sz w:val="32"/>
          <w:szCs w:val="32"/>
        </w:rPr>
        <w:t>式中：</w:t>
      </w:r>
    </w:p>
    <w:p>
      <w:pPr>
        <w:pStyle w:val="5"/>
        <w:spacing w:line="600" w:lineRule="exact"/>
        <w:ind w:firstLine="640"/>
        <w:rPr>
          <w:rFonts w:ascii="Times New Roman" w:eastAsia="仿宋_GB2312"/>
          <w:sz w:val="32"/>
          <w:szCs w:val="32"/>
        </w:rPr>
      </w:pPr>
      <w:r>
        <w:rPr>
          <w:rFonts w:hint="eastAsia" w:ascii="Times New Roman" w:eastAsia="仿宋_GB2312"/>
          <w:i/>
          <w:iCs/>
          <w:position w:val="-6"/>
          <w:sz w:val="32"/>
          <w:szCs w:val="32"/>
        </w:rPr>
        <w:t>GI</w:t>
      </w:r>
      <w:r>
        <w:rPr>
          <w:rFonts w:hint="eastAsia" w:ascii="Times New Roman" w:eastAsia="仿宋_GB2312"/>
          <w:position w:val="-6"/>
          <w:sz w:val="32"/>
          <w:szCs w:val="32"/>
        </w:rPr>
        <w:t>为工业园区绿色指数；</w:t>
      </w:r>
    </w:p>
    <w:p>
      <w:pPr>
        <w:pStyle w:val="5"/>
        <w:spacing w:line="600" w:lineRule="exact"/>
        <w:ind w:firstLine="640"/>
        <w:rPr>
          <w:rFonts w:ascii="Times New Roman" w:eastAsia="仿宋_GB2312"/>
          <w:sz w:val="32"/>
          <w:szCs w:val="32"/>
        </w:rPr>
      </w:pPr>
      <w:r>
        <w:rPr>
          <w:rFonts w:ascii="Times New Roman" w:eastAsia="仿宋_GB2312"/>
          <w:position w:val="-12"/>
          <w:sz w:val="32"/>
          <w:szCs w:val="32"/>
        </w:rPr>
        <w:object>
          <v:shape id="_x0000_i1026" o:spt="75" type="#_x0000_t75" style="height:18.15pt;width:21.3pt;" o:ole="t" filled="f" o:preferrelative="t" stroked="f" coordsize="21600,21600">
            <v:path/>
            <v:fill on="f" focussize="0,0"/>
            <v:stroke on="f"/>
            <v:imagedata r:id="rId6" o:title=""/>
            <o:lock v:ext="edit" aspectratio="t"/>
            <w10:wrap type="none"/>
            <w10:anchorlock/>
          </v:shape>
          <o:OLEObject Type="Embed" ProgID="Equation.DSMT4" ShapeID="_x0000_i1026" DrawAspect="Content" ObjectID="_1468075725" r:id="rId5">
            <o:LockedField>false</o:LockedField>
          </o:OLEObject>
        </w:object>
      </w:r>
      <w:r>
        <w:rPr>
          <w:rFonts w:ascii="Times New Roman" w:eastAsia="仿宋_GB2312"/>
          <w:sz w:val="32"/>
          <w:szCs w:val="32"/>
        </w:rPr>
        <w:t>为第</w:t>
      </w:r>
      <w:r>
        <w:rPr>
          <w:rFonts w:ascii="Times New Roman" w:eastAsia="仿宋_GB2312"/>
          <w:position w:val="-6"/>
          <w:sz w:val="32"/>
          <w:szCs w:val="32"/>
        </w:rPr>
        <w:object>
          <v:shape id="_x0000_i1027" o:spt="75" type="#_x0000_t75" style="height:12.5pt;width:6.9pt;" o:ole="t" filled="f" o:preferrelative="t" stroked="f" coordsize="21600,21600">
            <v:path/>
            <v:fill on="f" focussize="0,0"/>
            <v:stroke on="f"/>
            <v:imagedata r:id="rId8" o:title=""/>
            <o:lock v:ext="edit" aspectratio="t"/>
            <w10:wrap type="none"/>
            <w10:anchorlock/>
          </v:shape>
          <o:OLEObject Type="Embed" ProgID="Equation.DSMT4" ShapeID="_x0000_i1027" DrawAspect="Content" ObjectID="_1468075726" r:id="rId7">
            <o:LockedField>false</o:LockedField>
          </o:OLEObject>
        </w:object>
      </w:r>
      <w:r>
        <w:rPr>
          <w:rFonts w:ascii="Times New Roman" w:eastAsia="仿宋_GB2312"/>
          <w:sz w:val="32"/>
          <w:szCs w:val="32"/>
        </w:rPr>
        <w:t>项能源利用绿色化指标值；</w:t>
      </w:r>
      <w:r>
        <w:rPr>
          <w:rFonts w:ascii="Times New Roman" w:eastAsia="仿宋_GB2312"/>
          <w:position w:val="-12"/>
          <w:sz w:val="32"/>
          <w:szCs w:val="32"/>
        </w:rPr>
        <w:object>
          <v:shape id="_x0000_i1028" o:spt="75" type="#_x0000_t75" style="height:18.15pt;width:24.4pt;" o:ole="t" filled="f" o:preferrelative="t" stroked="f" coordsize="21600,21600">
            <v:path/>
            <v:fill on="f" focussize="0,0"/>
            <v:stroke on="f"/>
            <v:imagedata r:id="rId10" o:title=""/>
            <o:lock v:ext="edit" aspectratio="t"/>
            <w10:wrap type="none"/>
            <w10:anchorlock/>
          </v:shape>
          <o:OLEObject Type="Embed" ProgID="Equation.DSMT4" ShapeID="_x0000_i1028" DrawAspect="Content" ObjectID="_1468075727" r:id="rId9">
            <o:LockedField>false</o:LockedField>
          </o:OLEObject>
        </w:object>
      </w:r>
      <w:r>
        <w:rPr>
          <w:rFonts w:ascii="Times New Roman" w:eastAsia="仿宋_GB2312"/>
          <w:sz w:val="32"/>
          <w:szCs w:val="32"/>
        </w:rPr>
        <w:t>为第</w:t>
      </w:r>
      <w:r>
        <w:rPr>
          <w:rFonts w:ascii="Times New Roman" w:eastAsia="仿宋_GB2312"/>
          <w:position w:val="-6"/>
          <w:sz w:val="32"/>
          <w:szCs w:val="32"/>
        </w:rPr>
        <w:object>
          <v:shape id="_x0000_i1029" o:spt="75" type="#_x0000_t75" style="height:12.5pt;width:6.9pt;" o:ole="t" filled="f" o:preferrelative="t" stroked="f" coordsize="21600,21600">
            <v:path/>
            <v:fill on="f" focussize="0,0"/>
            <v:stroke on="f"/>
            <v:imagedata r:id="rId8" o:title=""/>
            <o:lock v:ext="edit" aspectratio="t"/>
            <w10:wrap type="none"/>
            <w10:anchorlock/>
          </v:shape>
          <o:OLEObject Type="Embed" ProgID="Equation.DSMT4" ShapeID="_x0000_i1029" DrawAspect="Content" ObjectID="_1468075728" r:id="rId11">
            <o:LockedField>false</o:LockedField>
          </o:OLEObject>
        </w:object>
      </w:r>
      <w:r>
        <w:rPr>
          <w:rFonts w:ascii="Times New Roman" w:eastAsia="仿宋_GB2312"/>
          <w:sz w:val="32"/>
          <w:szCs w:val="32"/>
        </w:rPr>
        <w:t>项能源利用绿色指标引领值；</w:t>
      </w:r>
    </w:p>
    <w:p>
      <w:pPr>
        <w:pStyle w:val="5"/>
        <w:spacing w:line="600" w:lineRule="exact"/>
        <w:ind w:firstLine="640"/>
        <w:rPr>
          <w:rFonts w:ascii="Times New Roman" w:eastAsia="仿宋_GB2312"/>
          <w:sz w:val="32"/>
          <w:szCs w:val="32"/>
        </w:rPr>
      </w:pPr>
      <w:r>
        <w:rPr>
          <w:rFonts w:ascii="Times New Roman" w:eastAsia="仿宋_GB2312"/>
          <w:position w:val="-12"/>
          <w:sz w:val="32"/>
          <w:szCs w:val="32"/>
        </w:rPr>
        <w:object>
          <v:shape id="_x0000_i1030" o:spt="75" type="#_x0000_t75" style="height:18.15pt;width:21.3pt;" o:ole="t" filled="f" o:preferrelative="t" stroked="f" coordsize="21600,21600">
            <v:path/>
            <v:fill on="f" focussize="0,0"/>
            <v:stroke on="f"/>
            <v:imagedata r:id="rId13" o:title=""/>
            <o:lock v:ext="edit" aspectratio="t"/>
            <w10:wrap type="none"/>
            <w10:anchorlock/>
          </v:shape>
          <o:OLEObject Type="Embed" ProgID="Equation.DSMT4" ShapeID="_x0000_i1030" DrawAspect="Content" ObjectID="_1468075729" r:id="rId12">
            <o:LockedField>false</o:LockedField>
          </o:OLEObject>
        </w:object>
      </w:r>
      <w:r>
        <w:rPr>
          <w:rFonts w:ascii="Times New Roman" w:eastAsia="仿宋_GB2312"/>
          <w:sz w:val="32"/>
          <w:szCs w:val="32"/>
        </w:rPr>
        <w:t>为第</w:t>
      </w:r>
      <w:r>
        <w:rPr>
          <w:rFonts w:ascii="Times New Roman" w:eastAsia="仿宋_GB2312"/>
          <w:position w:val="-6"/>
          <w:sz w:val="32"/>
          <w:szCs w:val="32"/>
        </w:rPr>
        <w:object>
          <v:shape id="_x0000_i1031" o:spt="75" type="#_x0000_t75" style="height:12.5pt;width:6.9pt;" o:ole="t" filled="f" o:preferrelative="t" stroked="f" coordsize="21600,21600">
            <v:path/>
            <v:fill on="f" focussize="0,0"/>
            <v:stroke on="f"/>
            <v:imagedata r:id="rId8" o:title=""/>
            <o:lock v:ext="edit" aspectratio="t"/>
            <w10:wrap type="none"/>
            <w10:anchorlock/>
          </v:shape>
          <o:OLEObject Type="Embed" ProgID="Equation.DSMT4" ShapeID="_x0000_i1031" DrawAspect="Content" ObjectID="_1468075730" r:id="rId14">
            <o:LockedField>false</o:LockedField>
          </o:OLEObject>
        </w:object>
      </w:r>
      <w:r>
        <w:rPr>
          <w:rFonts w:ascii="Times New Roman" w:eastAsia="仿宋_GB2312"/>
          <w:sz w:val="32"/>
          <w:szCs w:val="32"/>
        </w:rPr>
        <w:t>项资源利用绿色化指标值，</w:t>
      </w:r>
      <w:r>
        <w:rPr>
          <w:rFonts w:ascii="Times New Roman" w:eastAsia="仿宋_GB2312"/>
          <w:position w:val="-12"/>
          <w:sz w:val="32"/>
          <w:szCs w:val="32"/>
        </w:rPr>
        <w:object>
          <v:shape id="_x0000_i1032" o:spt="75" type="#_x0000_t75" style="height:18.15pt;width:24.4pt;" o:ole="t" filled="f" o:preferrelative="t" stroked="f" coordsize="21600,21600">
            <v:path/>
            <v:fill on="f" focussize="0,0"/>
            <v:stroke on="f"/>
            <v:imagedata r:id="rId16" o:title=""/>
            <o:lock v:ext="edit" aspectratio="t"/>
            <w10:wrap type="none"/>
            <w10:anchorlock/>
          </v:shape>
          <o:OLEObject Type="Embed" ProgID="Equation.DSMT4" ShapeID="_x0000_i1032" DrawAspect="Content" ObjectID="_1468075731" r:id="rId15">
            <o:LockedField>false</o:LockedField>
          </o:OLEObject>
        </w:object>
      </w:r>
      <w:r>
        <w:rPr>
          <w:rFonts w:ascii="Times New Roman" w:eastAsia="仿宋_GB2312"/>
          <w:sz w:val="32"/>
          <w:szCs w:val="32"/>
        </w:rPr>
        <w:t>为第</w:t>
      </w:r>
      <w:r>
        <w:rPr>
          <w:rFonts w:ascii="Times New Roman" w:eastAsia="仿宋_GB2312"/>
          <w:position w:val="-6"/>
          <w:sz w:val="32"/>
          <w:szCs w:val="32"/>
        </w:rPr>
        <w:object>
          <v:shape id="_x0000_i1033" o:spt="75" type="#_x0000_t75" style="height:12.5pt;width:6.9pt;" o:ole="t" filled="f" o:preferrelative="t" stroked="f" coordsize="21600,21600">
            <v:path/>
            <v:fill on="f" focussize="0,0"/>
            <v:stroke on="f"/>
            <v:imagedata r:id="rId8" o:title=""/>
            <o:lock v:ext="edit" aspectratio="t"/>
            <w10:wrap type="none"/>
            <w10:anchorlock/>
          </v:shape>
          <o:OLEObject Type="Embed" ProgID="Equation.DSMT4" ShapeID="_x0000_i1033" DrawAspect="Content" ObjectID="_1468075732" r:id="rId17">
            <o:LockedField>false</o:LockedField>
          </o:OLEObject>
        </w:object>
      </w:r>
      <w:r>
        <w:rPr>
          <w:rFonts w:ascii="Times New Roman" w:eastAsia="仿宋_GB2312"/>
          <w:sz w:val="32"/>
          <w:szCs w:val="32"/>
        </w:rPr>
        <w:t>项资源利用绿色指标引领值；</w:t>
      </w:r>
    </w:p>
    <w:p>
      <w:pPr>
        <w:pStyle w:val="5"/>
        <w:spacing w:line="600" w:lineRule="exact"/>
        <w:ind w:firstLine="640"/>
        <w:rPr>
          <w:rFonts w:ascii="Times New Roman" w:eastAsia="仿宋_GB2312"/>
          <w:sz w:val="32"/>
          <w:szCs w:val="32"/>
        </w:rPr>
      </w:pPr>
      <w:r>
        <w:rPr>
          <w:rFonts w:ascii="Times New Roman" w:eastAsia="仿宋_GB2312"/>
          <w:position w:val="-12"/>
          <w:sz w:val="32"/>
          <w:szCs w:val="32"/>
        </w:rPr>
        <w:object>
          <v:shape id="_x0000_i1034" o:spt="75" type="#_x0000_t75" style="height:18.15pt;width:18.8pt;" o:ole="t" filled="f" o:preferrelative="t" stroked="f" coordsize="21600,21600">
            <v:path/>
            <v:fill on="f" focussize="0,0"/>
            <v:stroke on="f"/>
            <v:imagedata r:id="rId19" o:title=""/>
            <o:lock v:ext="edit" aspectratio="t"/>
            <w10:wrap type="none"/>
            <w10:anchorlock/>
          </v:shape>
          <o:OLEObject Type="Embed" ProgID="Equation.DSMT4" ShapeID="_x0000_i1034" DrawAspect="Content" ObjectID="_1468075733" r:id="rId18">
            <o:LockedField>false</o:LockedField>
          </o:OLEObject>
        </w:object>
      </w:r>
      <w:r>
        <w:rPr>
          <w:rFonts w:ascii="Times New Roman" w:eastAsia="仿宋_GB2312"/>
          <w:sz w:val="32"/>
          <w:szCs w:val="32"/>
        </w:rPr>
        <w:t>为第</w:t>
      </w:r>
      <w:r>
        <w:rPr>
          <w:rFonts w:ascii="Times New Roman" w:eastAsia="仿宋_GB2312"/>
          <w:position w:val="-6"/>
          <w:sz w:val="32"/>
          <w:szCs w:val="32"/>
        </w:rPr>
        <w:object>
          <v:shape id="_x0000_i1035" o:spt="75" type="#_x0000_t75" style="height:12.5pt;width:6.9pt;" o:ole="t" filled="f" o:preferrelative="t" stroked="f" coordsize="21600,21600">
            <v:path/>
            <v:fill on="f" focussize="0,0"/>
            <v:stroke on="f"/>
            <v:imagedata r:id="rId8" o:title=""/>
            <o:lock v:ext="edit" aspectratio="t"/>
            <w10:wrap type="none"/>
            <w10:anchorlock/>
          </v:shape>
          <o:OLEObject Type="Embed" ProgID="Equation.DSMT4" ShapeID="_x0000_i1035" DrawAspect="Content" ObjectID="_1468075734" r:id="rId20">
            <o:LockedField>false</o:LockedField>
          </o:OLEObject>
        </w:object>
      </w:r>
      <w:r>
        <w:rPr>
          <w:rFonts w:ascii="Times New Roman" w:eastAsia="仿宋_GB2312"/>
          <w:sz w:val="32"/>
          <w:szCs w:val="32"/>
        </w:rPr>
        <w:t>项基础设施绿色化指标值，</w:t>
      </w:r>
      <w:r>
        <w:rPr>
          <w:rFonts w:ascii="Times New Roman" w:eastAsia="仿宋_GB2312"/>
          <w:position w:val="-12"/>
          <w:sz w:val="32"/>
          <w:szCs w:val="32"/>
        </w:rPr>
        <w:object>
          <v:shape id="_x0000_i1036" o:spt="75" type="#_x0000_t75" style="height:18.15pt;width:21.3pt;" o:ole="t" filled="f" o:preferrelative="t" stroked="f" coordsize="21600,21600">
            <v:path/>
            <v:fill on="f" focussize="0,0"/>
            <v:stroke on="f"/>
            <v:imagedata r:id="rId22" o:title=""/>
            <o:lock v:ext="edit" aspectratio="t"/>
            <w10:wrap type="none"/>
            <w10:anchorlock/>
          </v:shape>
          <o:OLEObject Type="Embed" ProgID="Equation.DSMT4" ShapeID="_x0000_i1036" DrawAspect="Content" ObjectID="_1468075735" r:id="rId21">
            <o:LockedField>false</o:LockedField>
          </o:OLEObject>
        </w:object>
      </w:r>
      <w:r>
        <w:rPr>
          <w:rFonts w:ascii="Times New Roman" w:eastAsia="仿宋_GB2312"/>
          <w:sz w:val="32"/>
          <w:szCs w:val="32"/>
        </w:rPr>
        <w:t>为第</w:t>
      </w:r>
      <w:r>
        <w:rPr>
          <w:rFonts w:ascii="Times New Roman" w:eastAsia="仿宋_GB2312"/>
          <w:position w:val="-6"/>
          <w:sz w:val="32"/>
          <w:szCs w:val="32"/>
        </w:rPr>
        <w:object>
          <v:shape id="_x0000_i1037" o:spt="75" type="#_x0000_t75" style="height:12.5pt;width:6.9pt;" o:ole="t" filled="f" o:preferrelative="t" stroked="f" coordsize="21600,21600">
            <v:path/>
            <v:fill on="f" focussize="0,0"/>
            <v:stroke on="f"/>
            <v:imagedata r:id="rId8" o:title=""/>
            <o:lock v:ext="edit" aspectratio="t"/>
            <w10:wrap type="none"/>
            <w10:anchorlock/>
          </v:shape>
          <o:OLEObject Type="Embed" ProgID="Equation.DSMT4" ShapeID="_x0000_i1037" DrawAspect="Content" ObjectID="_1468075736" r:id="rId23">
            <o:LockedField>false</o:LockedField>
          </o:OLEObject>
        </w:object>
      </w:r>
      <w:r>
        <w:rPr>
          <w:rFonts w:ascii="Times New Roman" w:eastAsia="仿宋_GB2312"/>
          <w:sz w:val="32"/>
          <w:szCs w:val="32"/>
        </w:rPr>
        <w:t>项基础设施绿色指标引领值；</w:t>
      </w:r>
    </w:p>
    <w:p>
      <w:pPr>
        <w:pStyle w:val="5"/>
        <w:spacing w:line="600" w:lineRule="exact"/>
        <w:ind w:firstLine="640"/>
        <w:rPr>
          <w:rFonts w:ascii="Times New Roman" w:eastAsia="仿宋_GB2312"/>
          <w:sz w:val="32"/>
          <w:szCs w:val="32"/>
        </w:rPr>
      </w:pPr>
      <w:r>
        <w:rPr>
          <w:rFonts w:ascii="Times New Roman" w:eastAsia="仿宋_GB2312"/>
          <w:position w:val="-12"/>
          <w:sz w:val="32"/>
          <w:szCs w:val="32"/>
        </w:rPr>
        <w:object>
          <v:shape id="_x0000_i1038" o:spt="75" type="#_x0000_t75" style="height:18.15pt;width:21.3pt;" o:ole="t" filled="f" o:preferrelative="t" stroked="f" coordsize="21600,21600">
            <v:path/>
            <v:fill on="f" focussize="0,0"/>
            <v:stroke on="f"/>
            <v:imagedata r:id="rId25" o:title=""/>
            <o:lock v:ext="edit" aspectratio="t"/>
            <w10:wrap type="none"/>
            <w10:anchorlock/>
          </v:shape>
          <o:OLEObject Type="Embed" ProgID="Equation.DSMT4" ShapeID="_x0000_i1038" DrawAspect="Content" ObjectID="_1468075737" r:id="rId24">
            <o:LockedField>false</o:LockedField>
          </o:OLEObject>
        </w:object>
      </w:r>
      <w:r>
        <w:rPr>
          <w:rFonts w:ascii="Times New Roman" w:eastAsia="仿宋_GB2312"/>
          <w:sz w:val="32"/>
          <w:szCs w:val="32"/>
        </w:rPr>
        <w:t>为第</w:t>
      </w:r>
      <w:r>
        <w:rPr>
          <w:rFonts w:ascii="Times New Roman" w:eastAsia="仿宋_GB2312"/>
          <w:position w:val="-6"/>
          <w:sz w:val="32"/>
          <w:szCs w:val="32"/>
        </w:rPr>
        <w:object>
          <v:shape id="_x0000_i1039" o:spt="75" type="#_x0000_t75" style="height:12.5pt;width:6.9pt;" o:ole="t" filled="f" o:preferrelative="t" stroked="f" coordsize="21600,21600">
            <v:path/>
            <v:fill on="f" focussize="0,0"/>
            <v:stroke on="f"/>
            <v:imagedata r:id="rId8" o:title=""/>
            <o:lock v:ext="edit" aspectratio="t"/>
            <w10:wrap type="none"/>
            <w10:anchorlock/>
          </v:shape>
          <o:OLEObject Type="Embed" ProgID="Equation.DSMT4" ShapeID="_x0000_i1039" DrawAspect="Content" ObjectID="_1468075738" r:id="rId26">
            <o:LockedField>false</o:LockedField>
          </o:OLEObject>
        </w:object>
      </w:r>
      <w:r>
        <w:rPr>
          <w:rFonts w:ascii="Times New Roman" w:eastAsia="仿宋_GB2312"/>
          <w:sz w:val="32"/>
          <w:szCs w:val="32"/>
        </w:rPr>
        <w:t>项产业绿色化指标值，</w:t>
      </w:r>
      <w:r>
        <w:rPr>
          <w:rFonts w:ascii="Times New Roman" w:eastAsia="仿宋_GB2312"/>
          <w:position w:val="-12"/>
          <w:sz w:val="32"/>
          <w:szCs w:val="32"/>
        </w:rPr>
        <w:object>
          <v:shape id="_x0000_i1040" o:spt="75" type="#_x0000_t75" style="height:18.15pt;width:24.4pt;" o:ole="t" filled="f" o:preferrelative="t" stroked="f" coordsize="21600,21600">
            <v:path/>
            <v:fill on="f" focussize="0,0"/>
            <v:stroke on="f"/>
            <v:imagedata r:id="rId28" o:title=""/>
            <o:lock v:ext="edit" aspectratio="t"/>
            <w10:wrap type="none"/>
            <w10:anchorlock/>
          </v:shape>
          <o:OLEObject Type="Embed" ProgID="Equation.DSMT4" ShapeID="_x0000_i1040" DrawAspect="Content" ObjectID="_1468075739" r:id="rId27">
            <o:LockedField>false</o:LockedField>
          </o:OLEObject>
        </w:object>
      </w:r>
      <w:r>
        <w:rPr>
          <w:rFonts w:ascii="Times New Roman" w:eastAsia="仿宋_GB2312"/>
          <w:sz w:val="32"/>
          <w:szCs w:val="32"/>
        </w:rPr>
        <w:t>为第</w:t>
      </w:r>
      <w:r>
        <w:rPr>
          <w:rFonts w:ascii="Times New Roman" w:eastAsia="仿宋_GB2312"/>
          <w:position w:val="-6"/>
          <w:sz w:val="32"/>
          <w:szCs w:val="32"/>
        </w:rPr>
        <w:object>
          <v:shape id="_x0000_i1041" o:spt="75" type="#_x0000_t75" style="height:12.5pt;width:6.9pt;" o:ole="t" filled="f" o:preferrelative="t" stroked="f" coordsize="21600,21600">
            <v:path/>
            <v:fill on="f" focussize="0,0"/>
            <v:stroke on="f"/>
            <v:imagedata r:id="rId8" o:title=""/>
            <o:lock v:ext="edit" aspectratio="t"/>
            <w10:wrap type="none"/>
            <w10:anchorlock/>
          </v:shape>
          <o:OLEObject Type="Embed" ProgID="Equation.DSMT4" ShapeID="_x0000_i1041" DrawAspect="Content" ObjectID="_1468075740" r:id="rId29">
            <o:LockedField>false</o:LockedField>
          </o:OLEObject>
        </w:object>
      </w:r>
      <w:r>
        <w:rPr>
          <w:rFonts w:ascii="Times New Roman" w:eastAsia="仿宋_GB2312"/>
          <w:sz w:val="32"/>
          <w:szCs w:val="32"/>
        </w:rPr>
        <w:t>项产业绿色指标引领值；</w:t>
      </w:r>
    </w:p>
    <w:p>
      <w:pPr>
        <w:pStyle w:val="5"/>
        <w:spacing w:line="600" w:lineRule="exact"/>
        <w:ind w:firstLine="640"/>
        <w:rPr>
          <w:rFonts w:ascii="Times New Roman" w:eastAsia="仿宋_GB2312"/>
          <w:sz w:val="32"/>
          <w:szCs w:val="32"/>
        </w:rPr>
      </w:pPr>
      <w:r>
        <w:rPr>
          <w:rFonts w:ascii="Times New Roman" w:eastAsia="仿宋_GB2312"/>
          <w:position w:val="-12"/>
          <w:sz w:val="32"/>
          <w:szCs w:val="32"/>
        </w:rPr>
        <w:object>
          <v:shape id="_x0000_i1042" o:spt="75" type="#_x0000_t75" style="height:18.15pt;width:23.15pt;" o:ole="t" filled="f" o:preferrelative="t" stroked="f" coordsize="21600,21600">
            <v:path/>
            <v:fill on="f" focussize="0,0"/>
            <v:stroke on="f"/>
            <v:imagedata r:id="rId31" o:title=""/>
            <o:lock v:ext="edit" aspectratio="t"/>
            <w10:wrap type="none"/>
            <w10:anchorlock/>
          </v:shape>
          <o:OLEObject Type="Embed" ProgID="Equation.DSMT4" ShapeID="_x0000_i1042" DrawAspect="Content" ObjectID="_1468075741" r:id="rId30">
            <o:LockedField>false</o:LockedField>
          </o:OLEObject>
        </w:object>
      </w:r>
      <w:r>
        <w:rPr>
          <w:rFonts w:ascii="Times New Roman" w:eastAsia="仿宋_GB2312"/>
          <w:sz w:val="32"/>
          <w:szCs w:val="32"/>
        </w:rPr>
        <w:t>为第</w:t>
      </w:r>
      <w:r>
        <w:rPr>
          <w:rFonts w:ascii="Times New Roman" w:eastAsia="仿宋_GB2312"/>
          <w:position w:val="-6"/>
          <w:sz w:val="32"/>
          <w:szCs w:val="32"/>
        </w:rPr>
        <w:object>
          <v:shape id="_x0000_i1043" o:spt="75" type="#_x0000_t75" style="height:12.5pt;width:6.9pt;" o:ole="t" filled="f" o:preferrelative="t" stroked="f" coordsize="21600,21600">
            <v:path/>
            <v:fill on="f" focussize="0,0"/>
            <v:stroke on="f"/>
            <v:imagedata r:id="rId8" o:title=""/>
            <o:lock v:ext="edit" aspectratio="t"/>
            <w10:wrap type="none"/>
            <w10:anchorlock/>
          </v:shape>
          <o:OLEObject Type="Embed" ProgID="Equation.DSMT4" ShapeID="_x0000_i1043" DrawAspect="Content" ObjectID="_1468075742" r:id="rId32">
            <o:LockedField>false</o:LockedField>
          </o:OLEObject>
        </w:object>
      </w:r>
      <w:r>
        <w:rPr>
          <w:rFonts w:ascii="Times New Roman" w:eastAsia="仿宋_GB2312"/>
          <w:sz w:val="32"/>
          <w:szCs w:val="32"/>
        </w:rPr>
        <w:t>项生态环境绿色指标值，</w:t>
      </w:r>
      <w:r>
        <w:rPr>
          <w:rFonts w:ascii="Times New Roman" w:eastAsia="仿宋_GB2312"/>
          <w:position w:val="-12"/>
          <w:sz w:val="32"/>
          <w:szCs w:val="32"/>
        </w:rPr>
        <w:object>
          <v:shape id="_x0000_i1044" o:spt="75" type="#_x0000_t75" style="height:18.15pt;width:26.9pt;" o:ole="t" filled="f" o:preferrelative="t" stroked="f" coordsize="21600,21600">
            <v:path/>
            <v:fill on="f" focussize="0,0"/>
            <v:stroke on="f"/>
            <v:imagedata r:id="rId34" o:title=""/>
            <o:lock v:ext="edit" aspectratio="t"/>
            <w10:wrap type="none"/>
            <w10:anchorlock/>
          </v:shape>
          <o:OLEObject Type="Embed" ProgID="Equation.DSMT4" ShapeID="_x0000_i1044" DrawAspect="Content" ObjectID="_1468075743" r:id="rId33">
            <o:LockedField>false</o:LockedField>
          </o:OLEObject>
        </w:object>
      </w:r>
      <w:r>
        <w:rPr>
          <w:rFonts w:ascii="Times New Roman" w:eastAsia="仿宋_GB2312"/>
          <w:sz w:val="32"/>
          <w:szCs w:val="32"/>
        </w:rPr>
        <w:t>为第</w:t>
      </w:r>
      <w:r>
        <w:rPr>
          <w:rFonts w:ascii="Times New Roman" w:eastAsia="仿宋_GB2312"/>
          <w:position w:val="-6"/>
          <w:sz w:val="32"/>
          <w:szCs w:val="32"/>
        </w:rPr>
        <w:object>
          <v:shape id="_x0000_i1045" o:spt="75" type="#_x0000_t75" style="height:12.5pt;width:6.9pt;" o:ole="t" filled="f" o:preferrelative="t" stroked="f" coordsize="21600,21600">
            <v:path/>
            <v:fill on="f" focussize="0,0"/>
            <v:stroke on="f"/>
            <v:imagedata r:id="rId8" o:title=""/>
            <o:lock v:ext="edit" aspectratio="t"/>
            <w10:wrap type="none"/>
            <w10:anchorlock/>
          </v:shape>
          <o:OLEObject Type="Embed" ProgID="Equation.DSMT4" ShapeID="_x0000_i1045" DrawAspect="Content" ObjectID="_1468075744" r:id="rId35">
            <o:LockedField>false</o:LockedField>
          </o:OLEObject>
        </w:object>
      </w:r>
      <w:r>
        <w:rPr>
          <w:rFonts w:ascii="Times New Roman" w:eastAsia="仿宋_GB2312"/>
          <w:sz w:val="32"/>
          <w:szCs w:val="32"/>
        </w:rPr>
        <w:t>项生态环境绿色指标引领值；</w:t>
      </w:r>
    </w:p>
    <w:p>
      <w:pPr>
        <w:pStyle w:val="5"/>
        <w:spacing w:line="600" w:lineRule="exact"/>
        <w:ind w:firstLine="640"/>
        <w:rPr>
          <w:rFonts w:ascii="Times New Roman" w:eastAsia="仿宋_GB2312"/>
          <w:sz w:val="32"/>
          <w:szCs w:val="32"/>
        </w:rPr>
      </w:pPr>
      <w:r>
        <w:rPr>
          <w:rFonts w:ascii="Times New Roman" w:eastAsia="仿宋_GB2312"/>
          <w:position w:val="-12"/>
          <w:sz w:val="32"/>
          <w:szCs w:val="32"/>
        </w:rPr>
        <w:object>
          <v:shape id="_x0000_i1046" o:spt="75" type="#_x0000_t75" style="height:18.15pt;width:23.8pt;" o:ole="t" filled="f" o:preferrelative="t" stroked="f" coordsize="21600,21600">
            <v:path/>
            <v:fill on="f" focussize="0,0"/>
            <v:stroke on="f"/>
            <v:imagedata r:id="rId37" o:title=""/>
            <o:lock v:ext="edit" aspectratio="t"/>
            <w10:wrap type="none"/>
            <w10:anchorlock/>
          </v:shape>
          <o:OLEObject Type="Embed" ProgID="Equation.DSMT4" ShapeID="_x0000_i1046" DrawAspect="Content" ObjectID="_1468075745" r:id="rId36">
            <o:LockedField>false</o:LockedField>
          </o:OLEObject>
        </w:object>
      </w:r>
      <w:r>
        <w:rPr>
          <w:rFonts w:ascii="Times New Roman" w:eastAsia="仿宋_GB2312"/>
          <w:sz w:val="32"/>
          <w:szCs w:val="32"/>
        </w:rPr>
        <w:t>为第</w:t>
      </w:r>
      <w:r>
        <w:rPr>
          <w:rFonts w:ascii="Times New Roman" w:eastAsia="仿宋_GB2312"/>
          <w:position w:val="-6"/>
          <w:sz w:val="32"/>
          <w:szCs w:val="32"/>
        </w:rPr>
        <w:object>
          <v:shape id="_x0000_i1047" o:spt="75" type="#_x0000_t75" style="height:12.5pt;width:6.9pt;" o:ole="t" filled="f" o:preferrelative="t" stroked="f" coordsize="21600,21600">
            <v:path/>
            <v:fill on="f" focussize="0,0"/>
            <v:stroke on="f"/>
            <v:imagedata r:id="rId8" o:title=""/>
            <o:lock v:ext="edit" aspectratio="t"/>
            <w10:wrap type="none"/>
            <w10:anchorlock/>
          </v:shape>
          <o:OLEObject Type="Embed" ProgID="Equation.DSMT4" ShapeID="_x0000_i1047" DrawAspect="Content" ObjectID="_1468075746" r:id="rId38">
            <o:LockedField>false</o:LockedField>
          </o:OLEObject>
        </w:object>
      </w:r>
      <w:r>
        <w:rPr>
          <w:rFonts w:ascii="Times New Roman" w:eastAsia="仿宋_GB2312"/>
          <w:sz w:val="32"/>
          <w:szCs w:val="32"/>
        </w:rPr>
        <w:t>项运行管理绿色化指标值，</w:t>
      </w:r>
      <w:r>
        <w:rPr>
          <w:rFonts w:ascii="Times New Roman" w:eastAsia="仿宋_GB2312"/>
          <w:position w:val="-12"/>
          <w:sz w:val="32"/>
          <w:szCs w:val="32"/>
        </w:rPr>
        <w:object>
          <v:shape id="_x0000_i1048" o:spt="75" type="#_x0000_t75" style="height:18.15pt;width:27.55pt;" o:ole="t" filled="f" o:preferrelative="t" stroked="f" coordsize="21600,21600">
            <v:path/>
            <v:fill on="f" focussize="0,0"/>
            <v:stroke on="f"/>
            <v:imagedata r:id="rId40" o:title=""/>
            <o:lock v:ext="edit" aspectratio="t"/>
            <w10:wrap type="none"/>
            <w10:anchorlock/>
          </v:shape>
          <o:OLEObject Type="Embed" ProgID="Equation.DSMT4" ShapeID="_x0000_i1048" DrawAspect="Content" ObjectID="_1468075747" r:id="rId39">
            <o:LockedField>false</o:LockedField>
          </o:OLEObject>
        </w:object>
      </w:r>
      <w:r>
        <w:rPr>
          <w:rFonts w:ascii="Times New Roman" w:eastAsia="仿宋_GB2312"/>
          <w:sz w:val="32"/>
          <w:szCs w:val="32"/>
        </w:rPr>
        <w:t>为第</w:t>
      </w:r>
      <w:r>
        <w:rPr>
          <w:rFonts w:ascii="Times New Roman" w:eastAsia="仿宋_GB2312"/>
          <w:position w:val="-6"/>
          <w:sz w:val="32"/>
          <w:szCs w:val="32"/>
        </w:rPr>
        <w:object>
          <v:shape id="_x0000_i1049" o:spt="75" type="#_x0000_t75" style="height:12.5pt;width:6.9pt;" o:ole="t" filled="f" o:preferrelative="t" stroked="f" coordsize="21600,21600">
            <v:path/>
            <v:fill on="f" focussize="0,0"/>
            <v:stroke on="f"/>
            <v:imagedata r:id="rId8" o:title=""/>
            <o:lock v:ext="edit" aspectratio="t"/>
            <w10:wrap type="none"/>
            <w10:anchorlock/>
          </v:shape>
          <o:OLEObject Type="Embed" ProgID="Equation.DSMT4" ShapeID="_x0000_i1049" DrawAspect="Content" ObjectID="_1468075748" r:id="rId41">
            <o:LockedField>false</o:LockedField>
          </o:OLEObject>
        </w:object>
      </w:r>
      <w:r>
        <w:rPr>
          <w:rFonts w:ascii="Times New Roman" w:eastAsia="仿宋_GB2312"/>
          <w:sz w:val="32"/>
          <w:szCs w:val="32"/>
        </w:rPr>
        <w:t>项运行管理绿色指标引领值。</w:t>
      </w:r>
    </w:p>
    <w:p>
      <w:pPr>
        <w:pStyle w:val="5"/>
        <w:spacing w:line="600" w:lineRule="exact"/>
        <w:ind w:firstLine="480"/>
        <w:rPr>
          <w:rFonts w:ascii="仿宋" w:hAnsi="仿宋" w:eastAsia="仿宋" w:cs="仿宋"/>
          <w:sz w:val="24"/>
          <w:szCs w:val="24"/>
        </w:rPr>
      </w:pPr>
      <w:r>
        <w:rPr>
          <w:rFonts w:hint="eastAsia" w:ascii="仿宋" w:hAnsi="仿宋" w:eastAsia="仿宋" w:cs="仿宋"/>
          <w:sz w:val="24"/>
          <w:szCs w:val="24"/>
        </w:rPr>
        <w:t>注：正向指标（越大越好的指标）和逆向指标（越小越好的指标）数值的无量纲化分别采用指标值/基准值、基准值/指标值。在全部指标中，单位工业增加值废水排放量和主要污染物弹性系数属于逆向指标，无量纲化方法采用基准值/指标值。</w:t>
      </w:r>
    </w:p>
    <w:p>
      <w:pPr>
        <w:spacing w:line="600" w:lineRule="exact"/>
        <w:ind w:firstLine="640" w:firstLineChars="200"/>
        <w:rPr>
          <w:rFonts w:eastAsia="黑体"/>
          <w:bCs/>
          <w:sz w:val="32"/>
          <w:szCs w:val="32"/>
        </w:rPr>
      </w:pPr>
      <w:r>
        <w:rPr>
          <w:rFonts w:eastAsia="黑体"/>
          <w:bCs/>
          <w:sz w:val="32"/>
          <w:szCs w:val="32"/>
        </w:rPr>
        <w:t>二、能源利用化绿色指标（3个必选指标）</w:t>
      </w:r>
    </w:p>
    <w:p>
      <w:pPr>
        <w:spacing w:line="600" w:lineRule="exact"/>
        <w:ind w:firstLine="630"/>
        <w:rPr>
          <w:rFonts w:eastAsia="仿宋_GB2312"/>
          <w:sz w:val="32"/>
          <w:szCs w:val="32"/>
        </w:rPr>
      </w:pPr>
      <w:r>
        <w:rPr>
          <w:rFonts w:eastAsia="仿宋_GB2312"/>
          <w:sz w:val="32"/>
          <w:szCs w:val="32"/>
        </w:rPr>
        <w:t>能源利用绿色化指标包括能源产出率和可再生能源使用比例、清洁能源使用率3个必选指标。</w:t>
      </w:r>
    </w:p>
    <w:p>
      <w:pPr>
        <w:spacing w:line="600" w:lineRule="exact"/>
        <w:ind w:firstLine="630"/>
        <w:rPr>
          <w:rFonts w:ascii="楷体" w:hAnsi="楷体" w:eastAsia="楷体" w:cs="楷体"/>
          <w:sz w:val="32"/>
          <w:szCs w:val="32"/>
        </w:rPr>
      </w:pPr>
      <w:r>
        <w:rPr>
          <w:rFonts w:ascii="楷体" w:hAnsi="楷体" w:eastAsia="楷体" w:cs="楷体"/>
          <w:sz w:val="32"/>
          <w:szCs w:val="32"/>
        </w:rPr>
        <w:t>（一）能源产出率（必选）</w:t>
      </w:r>
    </w:p>
    <w:p>
      <w:pPr>
        <w:spacing w:line="600" w:lineRule="exact"/>
        <w:ind w:firstLine="630"/>
        <w:rPr>
          <w:rFonts w:eastAsia="仿宋"/>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：指报告期内园区工业增加值与能源消耗总量的比值，该项指标越大，表明能源产出效率越高。能源主要包括</w:t>
      </w:r>
      <w:r>
        <w:rPr>
          <w:rFonts w:eastAsia="仿宋"/>
          <w:sz w:val="32"/>
          <w:szCs w:val="32"/>
        </w:rPr>
        <w:t>原煤、原油、天然气、核电、水电、风电等一次能源。工业增加值采用2010年不变价，下同。</w:t>
      </w:r>
    </w:p>
    <w:p>
      <w:pPr>
        <w:spacing w:line="600" w:lineRule="exact"/>
        <w:ind w:firstLine="640" w:firstLineChars="200"/>
        <w:rPr>
          <w:rFonts w:eastAsia="仿宋"/>
          <w:sz w:val="32"/>
          <w:szCs w:val="32"/>
        </w:rPr>
      </w:pPr>
      <w:r>
        <w:rPr>
          <w:rFonts w:eastAsia="仿宋"/>
          <w:bCs/>
          <w:sz w:val="32"/>
          <w:szCs w:val="32"/>
        </w:rPr>
        <w:t>计算公式：</w:t>
      </w:r>
      <w:r>
        <w:rPr>
          <w:rFonts w:eastAsia="仿宋"/>
          <w:sz w:val="32"/>
          <w:szCs w:val="32"/>
        </w:rPr>
        <w:t>能源产出率=园区工业增加值（万元不变价）/能源综合消耗总量（tce）。</w:t>
      </w:r>
    </w:p>
    <w:p>
      <w:pPr>
        <w:spacing w:line="600" w:lineRule="exact"/>
        <w:ind w:firstLine="630"/>
        <w:rPr>
          <w:rFonts w:eastAsia="楷体"/>
          <w:sz w:val="32"/>
          <w:szCs w:val="32"/>
        </w:rPr>
      </w:pPr>
      <w:r>
        <w:rPr>
          <w:rFonts w:eastAsia="楷体"/>
          <w:sz w:val="32"/>
          <w:szCs w:val="32"/>
        </w:rPr>
        <w:t>（二）可再生能源使用比例（必选）</w:t>
      </w:r>
    </w:p>
    <w:p>
      <w:pPr>
        <w:spacing w:line="600" w:lineRule="exact"/>
        <w:ind w:firstLine="640" w:firstLineChars="200"/>
        <w:rPr>
          <w:rFonts w:eastAsia="仿宋"/>
          <w:sz w:val="32"/>
          <w:szCs w:val="32"/>
        </w:rPr>
      </w:pPr>
      <w:r>
        <w:rPr>
          <w:rFonts w:eastAsia="仿宋"/>
          <w:bCs/>
          <w:sz w:val="32"/>
          <w:szCs w:val="32"/>
        </w:rPr>
        <w:t>指标解释：</w:t>
      </w:r>
      <w:r>
        <w:rPr>
          <w:rFonts w:eastAsia="仿宋"/>
          <w:sz w:val="32"/>
          <w:szCs w:val="32"/>
        </w:rPr>
        <w:t>园区内工业企业的可再生能源使用量与综合能耗总量的比值。可再生能源包括太阳能、水能、生物质能、地热能、氢能、波浪能等非化石能源。</w:t>
      </w:r>
    </w:p>
    <w:p>
      <w:pPr>
        <w:spacing w:line="600" w:lineRule="exact"/>
        <w:ind w:firstLine="640" w:firstLineChars="200"/>
        <w:rPr>
          <w:rFonts w:eastAsia="仿宋"/>
          <w:sz w:val="32"/>
          <w:szCs w:val="32"/>
        </w:rPr>
      </w:pPr>
      <w:r>
        <w:rPr>
          <w:rFonts w:eastAsia="仿宋"/>
          <w:bCs/>
          <w:sz w:val="32"/>
          <w:szCs w:val="32"/>
        </w:rPr>
        <w:t>计算公式：</w:t>
      </w:r>
      <w:r>
        <w:rPr>
          <w:rFonts w:eastAsia="仿宋"/>
          <w:sz w:val="32"/>
          <w:szCs w:val="32"/>
        </w:rPr>
        <w:t>可再生能源使用比例（%）=工业企业可再生能源使用量（tce）/工业企业综合能耗总量（tce）x100%。</w:t>
      </w:r>
    </w:p>
    <w:p>
      <w:pPr>
        <w:spacing w:line="600" w:lineRule="exact"/>
        <w:ind w:firstLine="630"/>
        <w:rPr>
          <w:rFonts w:eastAsia="楷体"/>
          <w:sz w:val="32"/>
          <w:szCs w:val="32"/>
        </w:rPr>
      </w:pPr>
      <w:r>
        <w:rPr>
          <w:rFonts w:eastAsia="楷体"/>
          <w:sz w:val="32"/>
          <w:szCs w:val="32"/>
        </w:rPr>
        <w:t>（三）清洁能源使用率（必选）</w:t>
      </w:r>
    </w:p>
    <w:p>
      <w:pPr>
        <w:spacing w:line="600" w:lineRule="exact"/>
        <w:ind w:firstLine="640" w:firstLineChars="200"/>
        <w:rPr>
          <w:rFonts w:eastAsia="仿宋"/>
          <w:sz w:val="32"/>
          <w:szCs w:val="32"/>
        </w:rPr>
      </w:pPr>
      <w:r>
        <w:rPr>
          <w:rFonts w:eastAsia="仿宋"/>
          <w:bCs/>
          <w:sz w:val="32"/>
          <w:szCs w:val="32"/>
        </w:rPr>
        <w:t>指标解释</w:t>
      </w:r>
      <w:r>
        <w:rPr>
          <w:rFonts w:eastAsia="仿宋"/>
          <w:sz w:val="32"/>
          <w:szCs w:val="32"/>
        </w:rPr>
        <w:t>：指清洁能源使用量与园区终端能源消费总量之比，能源使用量均按标煤计。其中，清洁能源包括用作燃烧的天然气、焦炉煤气、其他煤气、炼厂干气、液化石油气等清洁燃气、电和低硫轻柴油等清洁燃油（不包括机动车用燃油）。</w:t>
      </w:r>
    </w:p>
    <w:p>
      <w:pPr>
        <w:spacing w:line="600" w:lineRule="exact"/>
        <w:ind w:firstLine="640" w:firstLineChars="200"/>
        <w:rPr>
          <w:rFonts w:eastAsia="仿宋"/>
          <w:sz w:val="32"/>
          <w:szCs w:val="32"/>
        </w:rPr>
      </w:pPr>
      <w:r>
        <w:rPr>
          <w:rFonts w:eastAsia="仿宋"/>
          <w:bCs/>
          <w:sz w:val="32"/>
          <w:szCs w:val="32"/>
        </w:rPr>
        <w:t>计算公式：</w:t>
      </w:r>
      <w:r>
        <w:rPr>
          <w:rFonts w:eastAsia="仿宋"/>
          <w:sz w:val="32"/>
          <w:szCs w:val="32"/>
        </w:rPr>
        <w:t>清洁能源使用率（%）=清洁能源使用量（tce）/终端能源消费总量（tce）×100%。</w:t>
      </w:r>
    </w:p>
    <w:p>
      <w:pPr>
        <w:spacing w:line="600" w:lineRule="exact"/>
        <w:ind w:firstLine="640" w:firstLineChars="200"/>
        <w:rPr>
          <w:rFonts w:eastAsia="黑体"/>
          <w:bCs/>
          <w:sz w:val="32"/>
          <w:szCs w:val="32"/>
        </w:rPr>
      </w:pPr>
      <w:r>
        <w:rPr>
          <w:rFonts w:eastAsia="黑体"/>
          <w:bCs/>
          <w:sz w:val="32"/>
          <w:szCs w:val="32"/>
        </w:rPr>
        <w:t>三、资源利用绿色化指标（4个必选指标+2个可选指标）</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资</w:t>
      </w:r>
      <w:r>
        <w:rPr>
          <w:rFonts w:eastAsia="仿宋"/>
          <w:sz w:val="32"/>
          <w:szCs w:val="32"/>
        </w:rPr>
        <w:t>源利用绿色化指标包括水资源产出率、土地资源产出率、工业固体废弃物综合利用率、工业用水重复利用率4个必选指标，以及从中水回用率、余热资源回收利用率、废气资源回收利用率、再生资源回收利用率4个可选指标中选取的2个指标。</w:t>
      </w:r>
    </w:p>
    <w:p>
      <w:pPr>
        <w:spacing w:line="600" w:lineRule="exact"/>
        <w:ind w:firstLine="630"/>
        <w:rPr>
          <w:rFonts w:ascii="楷体" w:hAnsi="楷体" w:eastAsia="楷体" w:cs="楷体"/>
          <w:sz w:val="32"/>
          <w:szCs w:val="32"/>
        </w:rPr>
      </w:pPr>
      <w:r>
        <w:rPr>
          <w:rFonts w:ascii="楷体" w:hAnsi="楷体" w:eastAsia="楷体" w:cs="楷体"/>
          <w:sz w:val="32"/>
          <w:szCs w:val="32"/>
        </w:rPr>
        <w:t>（一）水资源产出率（必选）</w:t>
      </w:r>
    </w:p>
    <w:p>
      <w:pPr>
        <w:spacing w:line="600" w:lineRule="exact"/>
        <w:ind w:firstLine="640" w:firstLineChars="200"/>
        <w:rPr>
          <w:rFonts w:eastAsia="仿宋"/>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指报告期内园区消耗单位新鲜水量所创造的工业增加值。工业用新鲜水量：指报告期内企业厂区内用于生产和生活的新鲜水量</w:t>
      </w:r>
      <w:r>
        <w:rPr>
          <w:rFonts w:eastAsia="仿宋"/>
          <w:sz w:val="32"/>
          <w:szCs w:val="32"/>
        </w:rPr>
        <w:t>（生活用水单独计量且生活污水不与工业废水混排的除外），它等于企业从城市自来水取用的水量和企业自备水用量之和。</w:t>
      </w:r>
    </w:p>
    <w:p>
      <w:pPr>
        <w:spacing w:line="600" w:lineRule="exact"/>
        <w:ind w:firstLine="640" w:firstLineChars="200"/>
        <w:rPr>
          <w:rFonts w:eastAsia="仿宋"/>
          <w:sz w:val="32"/>
          <w:szCs w:val="32"/>
        </w:rPr>
      </w:pPr>
      <w:r>
        <w:rPr>
          <w:rFonts w:eastAsia="仿宋"/>
          <w:bCs/>
          <w:sz w:val="32"/>
          <w:szCs w:val="32"/>
        </w:rPr>
        <w:t>计算公式：</w:t>
      </w:r>
      <w:r>
        <w:rPr>
          <w:rFonts w:eastAsia="仿宋"/>
          <w:sz w:val="32"/>
          <w:szCs w:val="32"/>
        </w:rPr>
        <w:t>水资源产出率= 园区工业增加值（万元不变价）/园区工业用新鲜水量（m</w:t>
      </w:r>
      <w:r>
        <w:rPr>
          <w:rFonts w:eastAsia="仿宋"/>
          <w:sz w:val="32"/>
          <w:szCs w:val="32"/>
          <w:vertAlign w:val="superscript"/>
        </w:rPr>
        <w:t>3</w:t>
      </w:r>
      <w:r>
        <w:rPr>
          <w:rFonts w:eastAsia="仿宋"/>
          <w:sz w:val="32"/>
          <w:szCs w:val="32"/>
        </w:rPr>
        <w:t>）。</w:t>
      </w:r>
    </w:p>
    <w:p>
      <w:pPr>
        <w:spacing w:line="600" w:lineRule="exact"/>
        <w:ind w:firstLine="630"/>
        <w:rPr>
          <w:rFonts w:eastAsia="楷体"/>
          <w:sz w:val="32"/>
          <w:szCs w:val="32"/>
        </w:rPr>
      </w:pPr>
      <w:r>
        <w:rPr>
          <w:rFonts w:eastAsia="楷体"/>
          <w:sz w:val="32"/>
          <w:szCs w:val="32"/>
        </w:rPr>
        <w:t>（二）土地资源产出率（必选）</w:t>
      </w:r>
    </w:p>
    <w:p>
      <w:pPr>
        <w:spacing w:line="600" w:lineRule="exact"/>
        <w:ind w:firstLine="640" w:firstLineChars="200"/>
        <w:rPr>
          <w:rFonts w:eastAsia="仿宋"/>
          <w:sz w:val="32"/>
          <w:szCs w:val="32"/>
        </w:rPr>
      </w:pPr>
      <w:r>
        <w:rPr>
          <w:rFonts w:eastAsia="仿宋"/>
          <w:bCs/>
          <w:sz w:val="32"/>
          <w:szCs w:val="32"/>
        </w:rPr>
        <w:t>指标解释：</w:t>
      </w:r>
      <w:r>
        <w:rPr>
          <w:rFonts w:eastAsia="仿宋"/>
          <w:sz w:val="32"/>
          <w:szCs w:val="32"/>
        </w:rPr>
        <w:t>指报告期内园区单位工业用地面积产生的工业增加值。工业用地面积指工业园区规划建设范围内按照土地规划作为工业用地并已投入生产的土地面积。工业用地指工矿企业的生产车间、库房及其附属设施等用地，包括专用的铁路、码头和道路等用地，不包括露天矿用地。</w:t>
      </w:r>
    </w:p>
    <w:p>
      <w:pPr>
        <w:spacing w:line="600" w:lineRule="exact"/>
        <w:ind w:firstLine="640" w:firstLineChars="200"/>
        <w:rPr>
          <w:rFonts w:eastAsia="仿宋"/>
          <w:sz w:val="32"/>
          <w:szCs w:val="32"/>
        </w:rPr>
      </w:pPr>
      <w:r>
        <w:rPr>
          <w:rFonts w:eastAsia="仿宋"/>
          <w:bCs/>
          <w:sz w:val="32"/>
          <w:szCs w:val="32"/>
        </w:rPr>
        <w:t>计算公式：</w:t>
      </w:r>
      <w:r>
        <w:rPr>
          <w:rFonts w:eastAsia="仿宋"/>
          <w:sz w:val="32"/>
          <w:szCs w:val="32"/>
        </w:rPr>
        <w:t>土地产出率=园区工业增加值（万元不变价）/园区工业用地面积（km</w:t>
      </w:r>
      <w:r>
        <w:rPr>
          <w:rFonts w:eastAsia="仿宋"/>
          <w:sz w:val="32"/>
          <w:szCs w:val="32"/>
          <w:vertAlign w:val="superscript"/>
        </w:rPr>
        <w:t>2</w:t>
      </w:r>
      <w:r>
        <w:rPr>
          <w:rFonts w:eastAsia="仿宋"/>
          <w:sz w:val="32"/>
          <w:szCs w:val="32"/>
        </w:rPr>
        <w:t>）。</w:t>
      </w:r>
    </w:p>
    <w:p>
      <w:pPr>
        <w:spacing w:line="600" w:lineRule="exact"/>
        <w:ind w:firstLine="630"/>
        <w:rPr>
          <w:rFonts w:eastAsia="楷体"/>
          <w:sz w:val="32"/>
          <w:szCs w:val="32"/>
        </w:rPr>
      </w:pPr>
      <w:r>
        <w:rPr>
          <w:rFonts w:eastAsia="楷体"/>
          <w:sz w:val="32"/>
          <w:szCs w:val="32"/>
        </w:rPr>
        <w:t>（三）工业固体废弃物综合利用率（必选）</w:t>
      </w:r>
    </w:p>
    <w:p>
      <w:pPr>
        <w:spacing w:line="600" w:lineRule="exact"/>
        <w:ind w:firstLine="640" w:firstLineChars="200"/>
        <w:rPr>
          <w:rFonts w:eastAsia="仿宋"/>
          <w:sz w:val="32"/>
          <w:szCs w:val="32"/>
        </w:rPr>
      </w:pPr>
      <w:r>
        <w:rPr>
          <w:rFonts w:eastAsia="仿宋"/>
          <w:bCs/>
          <w:sz w:val="32"/>
          <w:szCs w:val="32"/>
        </w:rPr>
        <w:t>指标解释：</w:t>
      </w:r>
      <w:r>
        <w:rPr>
          <w:rFonts w:eastAsia="仿宋"/>
          <w:sz w:val="32"/>
          <w:szCs w:val="32"/>
        </w:rPr>
        <w:t>指工业固体废物综合利用量占工业固体废物产生量（包括综合利用往年贮存量）的百分率。工业固体废物综合利用量指报告期内企业通过回收、加工、循环、交换等方式，从固体废物中提取或者使其转化为可以利用的资源、能源和其他原材料的固体废物量（包括当年利用往年的工业固体废物贮存量），如用作农业肥料、生产建筑材料、筑路等。综合利用量由原产生固体废物的单位统计。</w:t>
      </w:r>
    </w:p>
    <w:p>
      <w:pPr>
        <w:spacing w:line="600" w:lineRule="exact"/>
        <w:ind w:firstLine="640" w:firstLineChars="200"/>
        <w:rPr>
          <w:rFonts w:eastAsia="仿宋"/>
          <w:sz w:val="32"/>
          <w:szCs w:val="32"/>
        </w:rPr>
      </w:pPr>
      <w:r>
        <w:rPr>
          <w:rFonts w:eastAsia="仿宋"/>
          <w:bCs/>
          <w:sz w:val="32"/>
          <w:szCs w:val="32"/>
        </w:rPr>
        <w:t>计算公式：</w:t>
      </w:r>
      <w:r>
        <w:rPr>
          <w:rFonts w:eastAsia="仿宋"/>
          <w:sz w:val="32"/>
          <w:szCs w:val="32"/>
        </w:rPr>
        <w:t>工业固体废弃物综合利用率=工业固体废弃物综合利用量（t）/（工业固体废弃物产生量+综合利用往年贮存量(t)）×100%。</w:t>
      </w:r>
    </w:p>
    <w:p>
      <w:pPr>
        <w:spacing w:line="600" w:lineRule="exact"/>
        <w:ind w:firstLine="630"/>
        <w:rPr>
          <w:rFonts w:eastAsia="楷体"/>
          <w:sz w:val="32"/>
          <w:szCs w:val="32"/>
        </w:rPr>
      </w:pPr>
      <w:r>
        <w:rPr>
          <w:rFonts w:eastAsia="楷体"/>
          <w:sz w:val="32"/>
          <w:szCs w:val="32"/>
        </w:rPr>
        <w:t>（四）工业用水重复利用率（必选）</w:t>
      </w:r>
    </w:p>
    <w:p>
      <w:pPr>
        <w:spacing w:line="600" w:lineRule="exact"/>
        <w:ind w:firstLine="640" w:firstLineChars="200"/>
        <w:jc w:val="left"/>
        <w:rPr>
          <w:rFonts w:eastAsia="仿宋"/>
          <w:sz w:val="32"/>
          <w:szCs w:val="32"/>
        </w:rPr>
      </w:pPr>
      <w:r>
        <w:rPr>
          <w:rFonts w:eastAsia="仿宋"/>
          <w:bCs/>
          <w:sz w:val="32"/>
          <w:szCs w:val="32"/>
        </w:rPr>
        <w:t>指标解释</w:t>
      </w:r>
      <w:r>
        <w:rPr>
          <w:rFonts w:eastAsia="仿宋"/>
          <w:sz w:val="32"/>
          <w:szCs w:val="32"/>
        </w:rPr>
        <w:t>：指工业重复用水量占工业用水总量的百分</w:t>
      </w:r>
    </w:p>
    <w:p>
      <w:pPr>
        <w:spacing w:line="600" w:lineRule="exact"/>
        <w:rPr>
          <w:rFonts w:eastAsia="仿宋"/>
          <w:sz w:val="32"/>
          <w:szCs w:val="32"/>
        </w:rPr>
      </w:pPr>
      <w:r>
        <w:rPr>
          <w:rFonts w:eastAsia="仿宋"/>
          <w:sz w:val="32"/>
          <w:szCs w:val="32"/>
        </w:rPr>
        <w:t>率。工业重复用水量指报告期内企业生产用水中重复再利用的水量，包括循环使用、一水多用和串级使用的水量（含经处理后回用量）。工业用水总量指报告期内企业厂区内用于生产和生活的水量，它等于工业用新鲜水量与工业重复用水量之和。</w:t>
      </w:r>
    </w:p>
    <w:p>
      <w:pPr>
        <w:spacing w:line="600" w:lineRule="exact"/>
        <w:ind w:firstLine="640" w:firstLineChars="200"/>
        <w:rPr>
          <w:rFonts w:eastAsia="仿宋"/>
          <w:sz w:val="32"/>
          <w:szCs w:val="32"/>
        </w:rPr>
      </w:pPr>
      <w:r>
        <w:rPr>
          <w:rFonts w:eastAsia="仿宋"/>
          <w:bCs/>
          <w:sz w:val="32"/>
          <w:szCs w:val="32"/>
        </w:rPr>
        <w:t>计算公式：</w:t>
      </w:r>
      <w:r>
        <w:rPr>
          <w:rFonts w:eastAsia="仿宋"/>
          <w:sz w:val="32"/>
          <w:szCs w:val="32"/>
        </w:rPr>
        <w:t>工业用水重复利用率=工业重复用水量（m</w:t>
      </w:r>
      <w:r>
        <w:rPr>
          <w:rFonts w:eastAsia="仿宋"/>
          <w:sz w:val="32"/>
          <w:szCs w:val="32"/>
          <w:vertAlign w:val="superscript"/>
        </w:rPr>
        <w:t>3</w:t>
      </w:r>
      <w:r>
        <w:rPr>
          <w:rFonts w:eastAsia="仿宋"/>
          <w:sz w:val="32"/>
          <w:szCs w:val="32"/>
        </w:rPr>
        <w:t>）/工业用水总量（m</w:t>
      </w:r>
      <w:r>
        <w:rPr>
          <w:rFonts w:eastAsia="仿宋"/>
          <w:sz w:val="32"/>
          <w:szCs w:val="32"/>
          <w:vertAlign w:val="superscript"/>
        </w:rPr>
        <w:t>3</w:t>
      </w:r>
      <w:r>
        <w:rPr>
          <w:rFonts w:eastAsia="仿宋"/>
          <w:sz w:val="32"/>
          <w:szCs w:val="32"/>
        </w:rPr>
        <w:t>）×100%。</w:t>
      </w:r>
    </w:p>
    <w:p>
      <w:pPr>
        <w:spacing w:line="600" w:lineRule="exact"/>
        <w:ind w:firstLine="630"/>
        <w:rPr>
          <w:rFonts w:ascii="楷体" w:hAnsi="楷体" w:eastAsia="楷体" w:cs="楷体"/>
          <w:sz w:val="32"/>
          <w:szCs w:val="32"/>
        </w:rPr>
      </w:pPr>
      <w:r>
        <w:rPr>
          <w:rFonts w:ascii="楷体" w:hAnsi="楷体" w:eastAsia="楷体" w:cs="楷体"/>
          <w:sz w:val="32"/>
          <w:szCs w:val="32"/>
        </w:rPr>
        <w:t>（五）中水回用率（可选）</w:t>
      </w:r>
    </w:p>
    <w:p>
      <w:pPr>
        <w:spacing w:line="600" w:lineRule="exact"/>
        <w:ind w:firstLine="640" w:firstLineChars="200"/>
        <w:rPr>
          <w:rFonts w:eastAsia="仿宋"/>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指园区内再生水的回用量与污水处理厂处理量的比值。其中，再生水（中水）是指二级达标水经再生工艺净化处理后，达到</w:t>
      </w:r>
      <w:r>
        <w:rPr>
          <w:rFonts w:eastAsia="仿宋"/>
          <w:sz w:val="32"/>
          <w:szCs w:val="32"/>
        </w:rPr>
        <w:t>中水水质指标要求，满足某种使用要求的水。</w:t>
      </w:r>
    </w:p>
    <w:p>
      <w:pPr>
        <w:spacing w:line="600" w:lineRule="exact"/>
        <w:ind w:firstLine="640" w:firstLineChars="200"/>
        <w:rPr>
          <w:rFonts w:eastAsia="仿宋"/>
          <w:sz w:val="32"/>
          <w:szCs w:val="32"/>
        </w:rPr>
      </w:pPr>
      <w:r>
        <w:rPr>
          <w:rFonts w:eastAsia="仿宋"/>
          <w:bCs/>
          <w:sz w:val="32"/>
          <w:szCs w:val="32"/>
        </w:rPr>
        <w:t>计算公式</w:t>
      </w:r>
      <w:r>
        <w:rPr>
          <w:rFonts w:eastAsia="仿宋"/>
          <w:sz w:val="32"/>
          <w:szCs w:val="32"/>
        </w:rPr>
        <w:t>：中水回用率（%）=园区再生水（中水）回用量（万吨）/园区污水处理厂处理量（万吨）×100%。</w:t>
      </w:r>
    </w:p>
    <w:p>
      <w:pPr>
        <w:spacing w:line="600" w:lineRule="exact"/>
        <w:ind w:firstLine="630"/>
        <w:rPr>
          <w:rFonts w:ascii="楷体" w:hAnsi="楷体" w:eastAsia="楷体" w:cs="楷体"/>
          <w:sz w:val="32"/>
          <w:szCs w:val="32"/>
        </w:rPr>
      </w:pPr>
      <w:r>
        <w:rPr>
          <w:rFonts w:ascii="楷体" w:hAnsi="楷体" w:eastAsia="楷体" w:cs="楷体"/>
          <w:sz w:val="32"/>
          <w:szCs w:val="32"/>
        </w:rPr>
        <w:t>（六）余热资源回收利用率（可选）</w:t>
      </w:r>
    </w:p>
    <w:p>
      <w:pPr>
        <w:spacing w:line="600" w:lineRule="exact"/>
        <w:ind w:firstLine="640" w:firstLineChars="200"/>
        <w:rPr>
          <w:rFonts w:eastAsia="仿宋"/>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已回收利用的余热占园区余热资源的比重。它是反映企业余热资源回收利用程度的重要指标。余热回收利用是回收生产工艺过程中排出的具有高于环境温度的气态（如高温烟气）、液态（如冷却水）、固态（如各种高温钢材）物质所载有的热能，并加以利用</w:t>
      </w:r>
      <w:r>
        <w:rPr>
          <w:rFonts w:eastAsia="仿宋"/>
          <w:sz w:val="32"/>
          <w:szCs w:val="32"/>
        </w:rPr>
        <w:t>的过程。园区余热资源量按照GB/T 1028计算。</w:t>
      </w:r>
    </w:p>
    <w:p>
      <w:pPr>
        <w:spacing w:line="600" w:lineRule="exact"/>
        <w:ind w:firstLine="640" w:firstLineChars="200"/>
        <w:rPr>
          <w:rFonts w:eastAsia="仿宋"/>
          <w:sz w:val="32"/>
          <w:szCs w:val="32"/>
        </w:rPr>
      </w:pPr>
      <w:r>
        <w:rPr>
          <w:rFonts w:eastAsia="仿宋"/>
          <w:bCs/>
          <w:sz w:val="32"/>
          <w:szCs w:val="32"/>
        </w:rPr>
        <w:t>计算公式</w:t>
      </w:r>
      <w:r>
        <w:rPr>
          <w:rFonts w:eastAsia="仿宋"/>
          <w:sz w:val="32"/>
          <w:szCs w:val="32"/>
        </w:rPr>
        <w:t>：余热资源回收利用率（%）=回收利用的余热资源量（kJ）/园区总余热资源量（kJ）×100%。</w:t>
      </w:r>
    </w:p>
    <w:p>
      <w:pPr>
        <w:spacing w:line="600" w:lineRule="exact"/>
        <w:ind w:firstLine="630"/>
        <w:rPr>
          <w:rFonts w:ascii="楷体" w:hAnsi="楷体" w:eastAsia="楷体" w:cs="楷体"/>
          <w:sz w:val="32"/>
          <w:szCs w:val="32"/>
        </w:rPr>
      </w:pPr>
      <w:r>
        <w:rPr>
          <w:rFonts w:ascii="楷体" w:hAnsi="楷体" w:eastAsia="楷体" w:cs="楷体"/>
          <w:sz w:val="32"/>
          <w:szCs w:val="32"/>
        </w:rPr>
        <w:t>（七）废气资源回收利用率（可选）</w:t>
      </w:r>
    </w:p>
    <w:p>
      <w:pPr>
        <w:spacing w:line="600" w:lineRule="exact"/>
        <w:ind w:firstLine="640" w:firstLineChars="200"/>
        <w:rPr>
          <w:rFonts w:ascii="仿宋" w:hAnsi="仿宋" w:eastAsia="仿宋" w:cs="仿宋"/>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回收利用的废气资源量占园区废气资源的比重。废气资源量为经技术经济分析确定的可回收利用的废气量。园区中可回收利用的废气资源包括但不限于焦炉煤气、高炉煤气、转炉煤气、电石尾气、黄磷尾气、化工合成驰放气。</w:t>
      </w:r>
    </w:p>
    <w:p>
      <w:pPr>
        <w:spacing w:line="600" w:lineRule="exact"/>
        <w:ind w:firstLine="640" w:firstLineChars="200"/>
        <w:rPr>
          <w:rFonts w:eastAsia="仿宋_GB2312"/>
          <w:sz w:val="32"/>
          <w:szCs w:val="32"/>
        </w:rPr>
      </w:pPr>
      <w:r>
        <w:rPr>
          <w:rFonts w:hint="eastAsia" w:ascii="仿宋" w:hAnsi="仿宋" w:eastAsia="仿宋" w:cs="仿宋"/>
          <w:bCs/>
          <w:sz w:val="32"/>
          <w:szCs w:val="32"/>
        </w:rPr>
        <w:t>计算公式：</w:t>
      </w:r>
      <w:r>
        <w:rPr>
          <w:rFonts w:hint="eastAsia" w:ascii="仿宋" w:hAnsi="仿宋" w:eastAsia="仿宋" w:cs="仿宋"/>
          <w:sz w:val="32"/>
          <w:szCs w:val="32"/>
        </w:rPr>
        <w:t>废气资源回收利用率（%）=回收利用的废气资</w:t>
      </w:r>
      <w:r>
        <w:rPr>
          <w:rFonts w:eastAsia="仿宋"/>
          <w:sz w:val="32"/>
          <w:szCs w:val="32"/>
        </w:rPr>
        <w:t>源量（万m</w:t>
      </w:r>
      <w:r>
        <w:rPr>
          <w:rFonts w:eastAsia="仿宋"/>
          <w:sz w:val="32"/>
          <w:szCs w:val="32"/>
          <w:vertAlign w:val="superscript"/>
        </w:rPr>
        <w:t>3</w:t>
      </w:r>
      <w:r>
        <w:rPr>
          <w:rFonts w:eastAsia="仿宋"/>
          <w:sz w:val="32"/>
          <w:szCs w:val="32"/>
        </w:rPr>
        <w:t>）/园区可回收利用总废气资源量（万m</w:t>
      </w:r>
      <w:r>
        <w:rPr>
          <w:rFonts w:eastAsia="仿宋"/>
          <w:sz w:val="32"/>
          <w:szCs w:val="32"/>
          <w:vertAlign w:val="superscript"/>
        </w:rPr>
        <w:t>3</w:t>
      </w:r>
      <w:r>
        <w:rPr>
          <w:rFonts w:eastAsia="仿宋"/>
          <w:sz w:val="32"/>
          <w:szCs w:val="32"/>
        </w:rPr>
        <w:t>）×100%。</w:t>
      </w:r>
    </w:p>
    <w:p>
      <w:pPr>
        <w:spacing w:line="600" w:lineRule="exact"/>
        <w:ind w:firstLine="630"/>
        <w:rPr>
          <w:rFonts w:ascii="楷体" w:hAnsi="楷体" w:eastAsia="楷体" w:cs="楷体"/>
          <w:sz w:val="32"/>
          <w:szCs w:val="32"/>
        </w:rPr>
      </w:pPr>
      <w:r>
        <w:rPr>
          <w:rFonts w:ascii="楷体" w:hAnsi="楷体" w:eastAsia="楷体" w:cs="楷体"/>
          <w:sz w:val="32"/>
          <w:szCs w:val="32"/>
        </w:rPr>
        <w:t>（八）再生资源回收利用率（可选）</w:t>
      </w:r>
    </w:p>
    <w:p>
      <w:pPr>
        <w:spacing w:line="600" w:lineRule="exact"/>
        <w:ind w:firstLine="640" w:firstLineChars="200"/>
        <w:rPr>
          <w:rFonts w:ascii="仿宋" w:hAnsi="仿宋" w:eastAsia="仿宋" w:cs="仿宋"/>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本指标主要适用于再生资源类园区，是指园区内再生资源的循环利用量与再生资源收集量的比值。再生资源主要包括但不限于废钢铁、废有色金属、废纸、废塑料、废旧纺织品、废旧木材、废旧轮胎、废矿物油、废弃电器电子产品、报废汽车等。</w:t>
      </w:r>
    </w:p>
    <w:p>
      <w:pPr>
        <w:spacing w:line="600" w:lineRule="exact"/>
        <w:ind w:firstLine="640" w:firstLineChars="200"/>
        <w:rPr>
          <w:rFonts w:ascii="仿宋" w:hAnsi="仿宋" w:eastAsia="仿宋" w:cs="仿宋"/>
          <w:sz w:val="32"/>
          <w:szCs w:val="32"/>
        </w:rPr>
      </w:pPr>
      <w:r>
        <w:rPr>
          <w:rFonts w:hint="eastAsia" w:ascii="仿宋" w:hAnsi="仿宋" w:eastAsia="仿宋" w:cs="仿宋"/>
          <w:bCs/>
          <w:sz w:val="32"/>
          <w:szCs w:val="32"/>
        </w:rPr>
        <w:t>计算公式：</w:t>
      </w:r>
      <w:r>
        <w:rPr>
          <w:rFonts w:hint="eastAsia" w:ascii="仿宋" w:hAnsi="仿宋" w:eastAsia="仿宋" w:cs="仿宋"/>
          <w:sz w:val="32"/>
          <w:szCs w:val="32"/>
        </w:rPr>
        <w:t>再生资源回收利用</w:t>
      </w:r>
      <w:r>
        <w:rPr>
          <w:rFonts w:eastAsia="仿宋"/>
          <w:sz w:val="32"/>
          <w:szCs w:val="32"/>
        </w:rPr>
        <w:t>率（%）=再生资源循环利用量（万吨）/再生资源收集量（万吨）×100%。</w:t>
      </w:r>
    </w:p>
    <w:p>
      <w:pPr>
        <w:spacing w:line="600" w:lineRule="exact"/>
        <w:ind w:firstLine="640" w:firstLineChars="200"/>
        <w:rPr>
          <w:rFonts w:eastAsia="黑体"/>
          <w:bCs/>
          <w:sz w:val="32"/>
          <w:szCs w:val="32"/>
        </w:rPr>
      </w:pPr>
      <w:r>
        <w:rPr>
          <w:rFonts w:eastAsia="黑体"/>
          <w:bCs/>
          <w:sz w:val="32"/>
          <w:szCs w:val="32"/>
        </w:rPr>
        <w:t>四、基础设施绿色化指标（1个必选指标+2个可选指标）</w:t>
      </w:r>
    </w:p>
    <w:p>
      <w:pPr>
        <w:spacing w:line="600" w:lineRule="exact"/>
        <w:ind w:firstLine="640" w:firstLineChars="200"/>
        <w:rPr>
          <w:rFonts w:eastAsia="仿宋_GB2312"/>
          <w:sz w:val="32"/>
          <w:szCs w:val="32"/>
        </w:rPr>
      </w:pPr>
      <w:r>
        <w:rPr>
          <w:rFonts w:eastAsia="仿宋_GB2312"/>
          <w:sz w:val="32"/>
          <w:szCs w:val="32"/>
        </w:rPr>
        <w:t>基础设施绿色化指标包括污水集中处理设施1个必选指标，以及从新建工业建筑中绿色建筑的比例、新建公共建筑中绿色建筑的比例2个可选指标中选取1个指标，从500米公交站点覆盖率、节能与新能源公交车比例2个可选指标中选取1个指标。</w:t>
      </w:r>
    </w:p>
    <w:p>
      <w:pPr>
        <w:spacing w:line="600" w:lineRule="exact"/>
        <w:ind w:firstLine="630"/>
        <w:rPr>
          <w:rFonts w:eastAsia="楷体"/>
          <w:sz w:val="32"/>
          <w:szCs w:val="32"/>
        </w:rPr>
      </w:pPr>
      <w:r>
        <w:rPr>
          <w:rFonts w:eastAsia="楷体"/>
          <w:sz w:val="32"/>
          <w:szCs w:val="32"/>
        </w:rPr>
        <w:t>（一）污水集中处理设施（必选）</w:t>
      </w:r>
    </w:p>
    <w:p>
      <w:pPr>
        <w:spacing w:line="600" w:lineRule="exact"/>
        <w:ind w:firstLine="640" w:firstLineChars="200"/>
        <w:rPr>
          <w:rFonts w:eastAsia="仿宋"/>
          <w:sz w:val="32"/>
          <w:szCs w:val="32"/>
        </w:rPr>
      </w:pPr>
      <w:r>
        <w:rPr>
          <w:rFonts w:eastAsia="仿宋"/>
          <w:bCs/>
          <w:sz w:val="32"/>
          <w:szCs w:val="32"/>
        </w:rPr>
        <w:t>指标解释：</w:t>
      </w:r>
      <w:r>
        <w:rPr>
          <w:rFonts w:eastAsia="仿宋"/>
          <w:sz w:val="32"/>
          <w:szCs w:val="32"/>
        </w:rPr>
        <w:t>园区内所有工业废水经预处理达到集中处理要求后进入安装有自动在线监控装置的污水集中处理设施（园区内或园区外）。</w:t>
      </w:r>
    </w:p>
    <w:p>
      <w:pPr>
        <w:spacing w:line="600" w:lineRule="exact"/>
        <w:ind w:firstLine="630"/>
        <w:rPr>
          <w:rFonts w:eastAsia="楷体"/>
          <w:sz w:val="32"/>
          <w:szCs w:val="32"/>
        </w:rPr>
      </w:pPr>
      <w:r>
        <w:rPr>
          <w:rFonts w:eastAsia="楷体"/>
          <w:sz w:val="32"/>
          <w:szCs w:val="32"/>
        </w:rPr>
        <w:t>（二）新建工业建筑中绿色建筑的比例（可选）</w:t>
      </w:r>
    </w:p>
    <w:p>
      <w:pPr>
        <w:spacing w:line="600" w:lineRule="exact"/>
        <w:ind w:firstLine="640" w:firstLineChars="200"/>
        <w:rPr>
          <w:rFonts w:eastAsia="仿宋"/>
          <w:sz w:val="32"/>
          <w:szCs w:val="32"/>
        </w:rPr>
      </w:pPr>
      <w:r>
        <w:rPr>
          <w:rFonts w:eastAsia="仿宋"/>
          <w:bCs/>
          <w:sz w:val="32"/>
          <w:szCs w:val="32"/>
        </w:rPr>
        <w:t>指标解释：</w:t>
      </w:r>
      <w:r>
        <w:rPr>
          <w:rFonts w:eastAsia="仿宋"/>
          <w:sz w:val="32"/>
          <w:szCs w:val="32"/>
        </w:rPr>
        <w:t>园区新建工业建筑中的绿色建筑是按照GB/T 50878-2013《绿色工业建筑评价标准》评价，获得二星及以上评级的工业建筑。</w:t>
      </w:r>
    </w:p>
    <w:p>
      <w:pPr>
        <w:spacing w:line="600" w:lineRule="exact"/>
        <w:ind w:firstLine="640" w:firstLineChars="200"/>
        <w:rPr>
          <w:rFonts w:eastAsia="仿宋"/>
          <w:sz w:val="32"/>
          <w:szCs w:val="32"/>
        </w:rPr>
      </w:pPr>
      <w:r>
        <w:rPr>
          <w:rFonts w:eastAsia="仿宋"/>
          <w:bCs/>
          <w:sz w:val="32"/>
          <w:szCs w:val="32"/>
        </w:rPr>
        <w:t>计算公式：</w:t>
      </w:r>
      <w:r>
        <w:rPr>
          <w:rFonts w:eastAsia="仿宋"/>
          <w:sz w:val="32"/>
          <w:szCs w:val="32"/>
        </w:rPr>
        <w:t>新建工业建筑中绿色建筑的比例（%）=新建工业建筑中绿色建筑的面积（m</w:t>
      </w:r>
      <w:r>
        <w:rPr>
          <w:rFonts w:eastAsia="仿宋"/>
          <w:sz w:val="32"/>
          <w:szCs w:val="32"/>
          <w:vertAlign w:val="superscript"/>
        </w:rPr>
        <w:t>2</w:t>
      </w:r>
      <w:r>
        <w:rPr>
          <w:rFonts w:eastAsia="仿宋"/>
          <w:sz w:val="32"/>
          <w:szCs w:val="32"/>
        </w:rPr>
        <w:t>）/园区新建工业建筑面积</w:t>
      </w:r>
    </w:p>
    <w:p>
      <w:pPr>
        <w:spacing w:line="600" w:lineRule="exact"/>
        <w:rPr>
          <w:rFonts w:eastAsia="仿宋"/>
          <w:sz w:val="32"/>
          <w:szCs w:val="32"/>
        </w:rPr>
      </w:pPr>
      <w:r>
        <w:rPr>
          <w:rFonts w:eastAsia="仿宋"/>
          <w:sz w:val="32"/>
          <w:szCs w:val="32"/>
        </w:rPr>
        <w:t>（m</w:t>
      </w:r>
      <w:r>
        <w:rPr>
          <w:rFonts w:eastAsia="仿宋"/>
          <w:sz w:val="32"/>
          <w:szCs w:val="32"/>
          <w:vertAlign w:val="superscript"/>
        </w:rPr>
        <w:t>2</w:t>
      </w:r>
      <w:r>
        <w:rPr>
          <w:rFonts w:eastAsia="仿宋"/>
          <w:sz w:val="32"/>
          <w:szCs w:val="32"/>
        </w:rPr>
        <w:t>）×100%。</w:t>
      </w:r>
    </w:p>
    <w:p>
      <w:pPr>
        <w:spacing w:line="600" w:lineRule="exact"/>
        <w:ind w:firstLine="630"/>
        <w:rPr>
          <w:rFonts w:eastAsia="楷体"/>
          <w:sz w:val="32"/>
          <w:szCs w:val="32"/>
        </w:rPr>
      </w:pPr>
      <w:r>
        <w:rPr>
          <w:rFonts w:eastAsia="楷体"/>
          <w:sz w:val="32"/>
          <w:szCs w:val="32"/>
        </w:rPr>
        <w:t>（三）新建公共建筑中绿色建筑的比例（可选）</w:t>
      </w:r>
    </w:p>
    <w:p>
      <w:pPr>
        <w:spacing w:line="600" w:lineRule="exact"/>
        <w:ind w:firstLine="640" w:firstLineChars="200"/>
        <w:rPr>
          <w:rFonts w:eastAsia="仿宋"/>
          <w:sz w:val="32"/>
          <w:szCs w:val="32"/>
        </w:rPr>
      </w:pPr>
      <w:r>
        <w:rPr>
          <w:rFonts w:eastAsia="仿宋"/>
          <w:bCs/>
          <w:sz w:val="32"/>
          <w:szCs w:val="32"/>
        </w:rPr>
        <w:t>指标解释：</w:t>
      </w:r>
      <w:r>
        <w:rPr>
          <w:rFonts w:eastAsia="仿宋"/>
          <w:sz w:val="32"/>
          <w:szCs w:val="32"/>
        </w:rPr>
        <w:t>园区新建公共建筑中的绿色建筑是按照GB/T 50378-2014《绿色建筑评价标准》评价，获得二星及以上评级的公共建筑。</w:t>
      </w:r>
    </w:p>
    <w:p>
      <w:pPr>
        <w:spacing w:line="600" w:lineRule="exact"/>
        <w:ind w:firstLine="640" w:firstLineChars="200"/>
        <w:rPr>
          <w:rFonts w:eastAsia="仿宋"/>
          <w:sz w:val="32"/>
          <w:szCs w:val="32"/>
        </w:rPr>
      </w:pPr>
      <w:r>
        <w:rPr>
          <w:rFonts w:eastAsia="仿宋"/>
          <w:bCs/>
          <w:sz w:val="32"/>
          <w:szCs w:val="32"/>
        </w:rPr>
        <w:t>计算公式</w:t>
      </w:r>
      <w:r>
        <w:rPr>
          <w:rFonts w:eastAsia="仿宋"/>
          <w:sz w:val="32"/>
          <w:szCs w:val="32"/>
        </w:rPr>
        <w:t>：新建公共建筑中绿色建筑的比例（%）=新建公共建筑中绿色建筑的面积（m</w:t>
      </w:r>
      <w:r>
        <w:rPr>
          <w:rFonts w:eastAsia="仿宋"/>
          <w:sz w:val="32"/>
          <w:szCs w:val="32"/>
          <w:vertAlign w:val="superscript"/>
        </w:rPr>
        <w:t>2</w:t>
      </w:r>
      <w:r>
        <w:rPr>
          <w:rFonts w:eastAsia="仿宋"/>
          <w:sz w:val="32"/>
          <w:szCs w:val="32"/>
        </w:rPr>
        <w:t>）/园区新建公共建筑面积（m</w:t>
      </w:r>
      <w:r>
        <w:rPr>
          <w:rFonts w:eastAsia="仿宋"/>
          <w:sz w:val="32"/>
          <w:szCs w:val="32"/>
          <w:vertAlign w:val="superscript"/>
        </w:rPr>
        <w:t>2</w:t>
      </w:r>
      <w:r>
        <w:rPr>
          <w:rFonts w:eastAsia="仿宋"/>
          <w:sz w:val="32"/>
          <w:szCs w:val="32"/>
        </w:rPr>
        <w:t>）×100%。</w:t>
      </w:r>
    </w:p>
    <w:p>
      <w:pPr>
        <w:spacing w:line="600" w:lineRule="exact"/>
        <w:ind w:firstLine="630"/>
        <w:rPr>
          <w:rFonts w:eastAsia="楷体"/>
          <w:sz w:val="32"/>
          <w:szCs w:val="32"/>
        </w:rPr>
      </w:pPr>
      <w:r>
        <w:rPr>
          <w:rFonts w:eastAsia="楷体"/>
          <w:sz w:val="32"/>
          <w:szCs w:val="32"/>
        </w:rPr>
        <w:t>（四）500米公交站点覆盖率（可选）</w:t>
      </w:r>
    </w:p>
    <w:p>
      <w:pPr>
        <w:spacing w:line="600" w:lineRule="exact"/>
        <w:ind w:firstLine="640" w:firstLineChars="200"/>
        <w:rPr>
          <w:rFonts w:eastAsia="仿宋"/>
          <w:sz w:val="32"/>
          <w:szCs w:val="32"/>
        </w:rPr>
      </w:pPr>
      <w:r>
        <w:rPr>
          <w:rFonts w:eastAsia="仿宋"/>
          <w:bCs/>
          <w:sz w:val="32"/>
          <w:szCs w:val="32"/>
        </w:rPr>
        <w:t>指标解释：</w:t>
      </w:r>
      <w:r>
        <w:rPr>
          <w:rFonts w:eastAsia="仿宋"/>
          <w:sz w:val="32"/>
          <w:szCs w:val="32"/>
        </w:rPr>
        <w:t>园区公共交通车站服务覆盖面积的总和占园区建成区面积的百分比。</w:t>
      </w:r>
    </w:p>
    <w:p>
      <w:pPr>
        <w:spacing w:line="600" w:lineRule="exact"/>
        <w:ind w:firstLine="640" w:firstLineChars="200"/>
        <w:rPr>
          <w:rFonts w:eastAsia="仿宋"/>
          <w:sz w:val="32"/>
          <w:szCs w:val="32"/>
        </w:rPr>
      </w:pPr>
      <w:r>
        <w:rPr>
          <w:rFonts w:eastAsia="仿宋"/>
          <w:bCs/>
          <w:sz w:val="32"/>
          <w:szCs w:val="32"/>
        </w:rPr>
        <w:t>计算公式：</w:t>
      </w:r>
      <w:r>
        <w:rPr>
          <w:rFonts w:eastAsia="仿宋"/>
          <w:sz w:val="32"/>
          <w:szCs w:val="32"/>
        </w:rPr>
        <w:t>具体根据GB 50220计算。</w:t>
      </w:r>
    </w:p>
    <w:p>
      <w:pPr>
        <w:spacing w:line="600" w:lineRule="exact"/>
        <w:ind w:firstLine="630"/>
        <w:rPr>
          <w:rFonts w:eastAsia="楷体"/>
          <w:sz w:val="32"/>
          <w:szCs w:val="32"/>
        </w:rPr>
      </w:pPr>
      <w:r>
        <w:rPr>
          <w:rFonts w:eastAsia="楷体"/>
          <w:sz w:val="32"/>
          <w:szCs w:val="32"/>
        </w:rPr>
        <w:t>（五）节能与新能源公交车比例（可选）</w:t>
      </w:r>
    </w:p>
    <w:p>
      <w:pPr>
        <w:spacing w:line="600" w:lineRule="exact"/>
        <w:ind w:firstLine="640" w:firstLineChars="200"/>
        <w:rPr>
          <w:rFonts w:eastAsia="仿宋"/>
          <w:sz w:val="32"/>
          <w:szCs w:val="32"/>
        </w:rPr>
      </w:pPr>
      <w:r>
        <w:rPr>
          <w:rFonts w:eastAsia="仿宋"/>
          <w:bCs/>
          <w:sz w:val="32"/>
          <w:szCs w:val="32"/>
        </w:rPr>
        <w:t>指标解释：</w:t>
      </w:r>
      <w:r>
        <w:rPr>
          <w:rFonts w:eastAsia="仿宋"/>
          <w:sz w:val="32"/>
          <w:szCs w:val="32"/>
        </w:rPr>
        <w:t>新能源公交车是指采用新型动力系统，完全或主要依靠新型能源驱动的公交车。非插电式混合动力公交车是指没有外接充电功能的混合动力公交车。新能源公交车和非插电式混合动力公交车合称节能与新能源公交车。</w:t>
      </w:r>
    </w:p>
    <w:p>
      <w:pPr>
        <w:spacing w:line="600" w:lineRule="exact"/>
        <w:ind w:firstLine="640" w:firstLineChars="200"/>
        <w:rPr>
          <w:rFonts w:eastAsia="仿宋"/>
          <w:sz w:val="32"/>
          <w:szCs w:val="32"/>
        </w:rPr>
      </w:pPr>
      <w:r>
        <w:rPr>
          <w:rFonts w:eastAsia="仿宋"/>
          <w:bCs/>
          <w:sz w:val="32"/>
          <w:szCs w:val="32"/>
        </w:rPr>
        <w:t>计算公式：</w:t>
      </w:r>
      <w:r>
        <w:rPr>
          <w:rFonts w:eastAsia="仿宋"/>
          <w:sz w:val="32"/>
          <w:szCs w:val="32"/>
        </w:rPr>
        <w:t>节能与新能源公交车比例（%）=节能与新能源公交车数量（辆）/园区公交车总量（辆）×100%。</w:t>
      </w:r>
    </w:p>
    <w:p>
      <w:pPr>
        <w:spacing w:line="600" w:lineRule="exact"/>
        <w:ind w:firstLine="640" w:firstLineChars="200"/>
        <w:rPr>
          <w:rFonts w:eastAsia="黑体"/>
          <w:bCs/>
          <w:sz w:val="32"/>
          <w:szCs w:val="32"/>
        </w:rPr>
      </w:pPr>
      <w:r>
        <w:rPr>
          <w:rFonts w:eastAsia="黑体"/>
          <w:bCs/>
          <w:sz w:val="32"/>
          <w:szCs w:val="32"/>
        </w:rPr>
        <w:t>五、产业绿色化指标（2个必选指标+1个可选指标）</w:t>
      </w:r>
    </w:p>
    <w:p>
      <w:pPr>
        <w:spacing w:line="600" w:lineRule="exact"/>
        <w:ind w:firstLine="640" w:firstLineChars="200"/>
        <w:rPr>
          <w:rFonts w:eastAsia="仿宋_GB2312"/>
          <w:sz w:val="32"/>
          <w:szCs w:val="32"/>
        </w:rPr>
      </w:pPr>
      <w:r>
        <w:rPr>
          <w:rFonts w:eastAsia="仿宋_GB2312"/>
          <w:sz w:val="32"/>
          <w:szCs w:val="32"/>
        </w:rPr>
        <w:t>产业绿色化指标包括高新技术产业产值占园区工业总产值比例、绿色产业增加值占园区工业增加值比例2个必选指标，以及从人均工业增加值和现代服务业比例两个可选指标中选取1个指标。</w:t>
      </w:r>
    </w:p>
    <w:p>
      <w:pPr>
        <w:spacing w:line="600" w:lineRule="exact"/>
        <w:ind w:firstLine="630"/>
        <w:rPr>
          <w:rFonts w:ascii="楷体" w:hAnsi="楷体" w:eastAsia="楷体" w:cs="楷体"/>
          <w:sz w:val="32"/>
          <w:szCs w:val="32"/>
        </w:rPr>
      </w:pPr>
      <w:r>
        <w:rPr>
          <w:rFonts w:ascii="楷体" w:hAnsi="楷体" w:eastAsia="楷体" w:cs="楷体"/>
          <w:sz w:val="32"/>
          <w:szCs w:val="32"/>
        </w:rPr>
        <w:t>（一）绿色产业增加值占园区工业增加值比例（必选）</w:t>
      </w:r>
    </w:p>
    <w:p>
      <w:pPr>
        <w:spacing w:line="600" w:lineRule="exact"/>
        <w:ind w:firstLine="640" w:firstLineChars="200"/>
        <w:rPr>
          <w:rFonts w:ascii="仿宋" w:hAnsi="仿宋" w:eastAsia="仿宋" w:cs="仿宋"/>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园区内绿色产业的增加值与园区工业增加值的比值。其中，绿色产业增加值是依据国家统计局《战略性新兴产业分类》中关于节能环保产业和新能源产业的具体分类统计得到。</w:t>
      </w:r>
    </w:p>
    <w:p>
      <w:pPr>
        <w:spacing w:line="600" w:lineRule="exact"/>
        <w:ind w:firstLine="640" w:firstLineChars="200"/>
        <w:rPr>
          <w:rFonts w:eastAsia="仿宋"/>
          <w:sz w:val="32"/>
          <w:szCs w:val="32"/>
        </w:rPr>
      </w:pPr>
      <w:r>
        <w:rPr>
          <w:rFonts w:hint="eastAsia" w:ascii="仿宋" w:hAnsi="仿宋" w:eastAsia="仿宋" w:cs="仿宋"/>
          <w:bCs/>
          <w:sz w:val="32"/>
          <w:szCs w:val="32"/>
        </w:rPr>
        <w:t>计算公式：</w:t>
      </w:r>
      <w:r>
        <w:rPr>
          <w:rFonts w:hint="eastAsia" w:ascii="仿宋" w:hAnsi="仿宋" w:eastAsia="仿宋" w:cs="仿宋"/>
          <w:sz w:val="32"/>
          <w:szCs w:val="32"/>
        </w:rPr>
        <w:t>绿色产业增加值占园区工业增加值</w:t>
      </w:r>
      <w:r>
        <w:rPr>
          <w:rFonts w:eastAsia="仿宋"/>
          <w:sz w:val="32"/>
          <w:szCs w:val="32"/>
        </w:rPr>
        <w:t>比例（%）=绿色产业增加值（万元）/园区工业增加值（万元）×100%。</w:t>
      </w:r>
    </w:p>
    <w:p>
      <w:pPr>
        <w:spacing w:line="600" w:lineRule="exact"/>
        <w:ind w:firstLine="630"/>
        <w:rPr>
          <w:rFonts w:eastAsia="楷体"/>
          <w:sz w:val="32"/>
          <w:szCs w:val="32"/>
        </w:rPr>
      </w:pPr>
      <w:r>
        <w:rPr>
          <w:rFonts w:eastAsia="楷体"/>
          <w:sz w:val="32"/>
          <w:szCs w:val="32"/>
        </w:rPr>
        <w:t>（二）高新技术产业产值占园区工业总产值比例（必选）</w:t>
      </w:r>
    </w:p>
    <w:p>
      <w:pPr>
        <w:spacing w:line="600" w:lineRule="exact"/>
        <w:ind w:firstLine="640" w:firstLineChars="200"/>
        <w:rPr>
          <w:rFonts w:eastAsia="仿宋"/>
          <w:sz w:val="32"/>
          <w:szCs w:val="32"/>
        </w:rPr>
      </w:pPr>
      <w:r>
        <w:rPr>
          <w:rFonts w:eastAsia="仿宋"/>
          <w:bCs/>
          <w:sz w:val="32"/>
          <w:szCs w:val="32"/>
        </w:rPr>
        <w:t>指标解释：</w:t>
      </w:r>
      <w:r>
        <w:rPr>
          <w:rFonts w:eastAsia="仿宋"/>
          <w:sz w:val="32"/>
          <w:szCs w:val="32"/>
        </w:rPr>
        <w:t>园区内高新技术企业的工业总产值占园区工业总产值的比值。其中，高新技术企业是指依据《高新技术企业认定管理办法》认定的工业范畴的高新技术企业。</w:t>
      </w:r>
    </w:p>
    <w:p>
      <w:pPr>
        <w:spacing w:line="600" w:lineRule="exact"/>
        <w:ind w:firstLine="640" w:firstLineChars="200"/>
        <w:rPr>
          <w:rFonts w:eastAsia="仿宋"/>
          <w:sz w:val="32"/>
          <w:szCs w:val="32"/>
        </w:rPr>
      </w:pPr>
      <w:r>
        <w:rPr>
          <w:rFonts w:eastAsia="仿宋"/>
          <w:bCs/>
          <w:sz w:val="32"/>
          <w:szCs w:val="32"/>
        </w:rPr>
        <w:t>计算公式：</w:t>
      </w:r>
      <w:r>
        <w:rPr>
          <w:rFonts w:eastAsia="仿宋"/>
          <w:sz w:val="32"/>
          <w:szCs w:val="32"/>
        </w:rPr>
        <w:t>高新技术产业产值占园区工业总产值比例</w:t>
      </w:r>
    </w:p>
    <w:p>
      <w:pPr>
        <w:spacing w:line="600" w:lineRule="exact"/>
        <w:rPr>
          <w:rFonts w:eastAsia="仿宋"/>
          <w:sz w:val="32"/>
          <w:szCs w:val="32"/>
        </w:rPr>
      </w:pPr>
      <w:r>
        <w:rPr>
          <w:rFonts w:eastAsia="仿宋"/>
          <w:sz w:val="32"/>
          <w:szCs w:val="32"/>
        </w:rPr>
        <w:t>（%）=高新技术企业的工业产值之和（万元）/工业园区工业总产值（万元）×100%。</w:t>
      </w:r>
    </w:p>
    <w:p>
      <w:pPr>
        <w:spacing w:line="600" w:lineRule="exact"/>
        <w:ind w:firstLine="630"/>
        <w:rPr>
          <w:rFonts w:eastAsia="楷体"/>
          <w:sz w:val="32"/>
          <w:szCs w:val="32"/>
        </w:rPr>
      </w:pPr>
      <w:r>
        <w:rPr>
          <w:rFonts w:eastAsia="楷体"/>
          <w:sz w:val="32"/>
          <w:szCs w:val="32"/>
        </w:rPr>
        <w:t>（三）人均工业增加值（可选）</w:t>
      </w:r>
    </w:p>
    <w:p>
      <w:pPr>
        <w:spacing w:line="600" w:lineRule="exact"/>
        <w:ind w:firstLine="640" w:firstLineChars="200"/>
        <w:rPr>
          <w:rFonts w:ascii="仿宋" w:hAnsi="仿宋" w:eastAsia="仿宋" w:cs="仿宋"/>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园区工业增加值与园区内工业企业从业人数的比值。</w:t>
      </w:r>
    </w:p>
    <w:p>
      <w:pPr>
        <w:spacing w:line="600" w:lineRule="exact"/>
        <w:ind w:firstLine="640" w:firstLineChars="200"/>
        <w:rPr>
          <w:rFonts w:eastAsia="仿宋_GB2312"/>
          <w:sz w:val="32"/>
          <w:szCs w:val="32"/>
        </w:rPr>
      </w:pPr>
      <w:r>
        <w:rPr>
          <w:rFonts w:hint="eastAsia" w:ascii="仿宋" w:hAnsi="仿宋" w:eastAsia="仿宋" w:cs="仿宋"/>
          <w:bCs/>
          <w:sz w:val="32"/>
          <w:szCs w:val="32"/>
        </w:rPr>
        <w:t>计算公式：</w:t>
      </w:r>
      <w:r>
        <w:rPr>
          <w:rFonts w:hint="eastAsia" w:ascii="仿宋" w:hAnsi="仿宋" w:eastAsia="仿宋" w:cs="仿宋"/>
          <w:sz w:val="32"/>
          <w:szCs w:val="32"/>
        </w:rPr>
        <w:t>人均工业增加值（万元/人）=园区工业增加值（万元）/园区年末工业企业从业人数（人）。</w:t>
      </w:r>
    </w:p>
    <w:p>
      <w:pPr>
        <w:spacing w:line="600" w:lineRule="exact"/>
        <w:ind w:firstLine="630"/>
        <w:rPr>
          <w:rFonts w:ascii="楷体" w:hAnsi="楷体" w:eastAsia="楷体" w:cs="楷体"/>
          <w:sz w:val="32"/>
          <w:szCs w:val="32"/>
        </w:rPr>
      </w:pPr>
      <w:r>
        <w:rPr>
          <w:rFonts w:ascii="楷体" w:hAnsi="楷体" w:eastAsia="楷体" w:cs="楷体"/>
          <w:sz w:val="32"/>
          <w:szCs w:val="32"/>
        </w:rPr>
        <w:t>（四）现代服务业比例（可选）</w:t>
      </w:r>
    </w:p>
    <w:p>
      <w:pPr>
        <w:spacing w:line="600" w:lineRule="exact"/>
        <w:ind w:firstLine="640" w:firstLineChars="200"/>
        <w:rPr>
          <w:rFonts w:eastAsia="仿宋"/>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为适应现代园区发展的需求，而产生和发展起来的具有高技术含量和高文化含量的服务业。主要包括基础服务（包括通信服务和信息服务）、生产和市场服务（包括金融、物流、批发、电子商务、农业支撑服务以及中介和咨询等专业服</w:t>
      </w:r>
      <w:r>
        <w:rPr>
          <w:rFonts w:eastAsia="仿宋"/>
          <w:sz w:val="32"/>
          <w:szCs w:val="32"/>
        </w:rPr>
        <w:t>务）、个人消费服务（包括教育、医疗保健、住宿、餐饮、文化娱乐、旅游、房地产、商品零售等）和公共服务（包括政府的公共管理服务、基础教育、公共卫生、医疗以及公益性信息服务等）。</w:t>
      </w:r>
    </w:p>
    <w:p>
      <w:pPr>
        <w:spacing w:line="600" w:lineRule="exact"/>
        <w:ind w:firstLine="640" w:firstLineChars="200"/>
        <w:rPr>
          <w:rFonts w:eastAsia="仿宋"/>
          <w:sz w:val="32"/>
          <w:szCs w:val="32"/>
        </w:rPr>
      </w:pPr>
      <w:r>
        <w:rPr>
          <w:rFonts w:eastAsia="仿宋"/>
          <w:bCs/>
          <w:sz w:val="32"/>
          <w:szCs w:val="32"/>
        </w:rPr>
        <w:t>计算公式：</w:t>
      </w:r>
      <w:r>
        <w:rPr>
          <w:rFonts w:eastAsia="仿宋"/>
          <w:sz w:val="32"/>
          <w:szCs w:val="32"/>
        </w:rPr>
        <w:t>现代服务业比例（%）=现代服务业增加值（万元）/园区GDP×100%。</w:t>
      </w:r>
    </w:p>
    <w:p>
      <w:pPr>
        <w:spacing w:line="600" w:lineRule="exact"/>
        <w:ind w:firstLine="640" w:firstLineChars="200"/>
        <w:rPr>
          <w:rFonts w:eastAsia="黑体"/>
          <w:bCs/>
          <w:sz w:val="32"/>
          <w:szCs w:val="32"/>
        </w:rPr>
      </w:pPr>
      <w:r>
        <w:rPr>
          <w:rFonts w:eastAsia="黑体"/>
          <w:bCs/>
          <w:sz w:val="32"/>
          <w:szCs w:val="32"/>
        </w:rPr>
        <w:t>六、生态环境绿色化指标（5个必选指标+1个可选指标）</w:t>
      </w:r>
    </w:p>
    <w:p>
      <w:pPr>
        <w:spacing w:line="600" w:lineRule="exact"/>
        <w:ind w:firstLine="640" w:firstLineChars="200"/>
        <w:rPr>
          <w:rFonts w:eastAsia="仿宋_GB2312"/>
          <w:sz w:val="32"/>
          <w:szCs w:val="32"/>
        </w:rPr>
      </w:pPr>
      <w:r>
        <w:rPr>
          <w:rFonts w:eastAsia="仿宋_GB2312"/>
          <w:sz w:val="32"/>
          <w:szCs w:val="32"/>
        </w:rPr>
        <w:t>生态环境绿色化指标包括工业固体废弃物（含危废）处置利用率、万元工业增加值碳排放量消减率、单位工业增加值废水排放量、主要污染物弹性系数、园区空气质量优良率6个必选指标，以及从道路遮荫比例、露天停车场遮荫比例2个可选指标选取1个指标。</w:t>
      </w:r>
    </w:p>
    <w:p>
      <w:pPr>
        <w:spacing w:line="600" w:lineRule="exact"/>
        <w:ind w:firstLine="630"/>
        <w:rPr>
          <w:rFonts w:ascii="楷体" w:hAnsi="楷体" w:eastAsia="楷体" w:cs="楷体"/>
          <w:sz w:val="32"/>
          <w:szCs w:val="32"/>
        </w:rPr>
      </w:pPr>
      <w:r>
        <w:rPr>
          <w:rFonts w:ascii="楷体" w:hAnsi="楷体" w:eastAsia="楷体" w:cs="楷体"/>
          <w:sz w:val="32"/>
          <w:szCs w:val="32"/>
        </w:rPr>
        <w:t>（一）工业固体废弃物（含危废）处置利用率（必选）</w:t>
      </w:r>
    </w:p>
    <w:p>
      <w:pPr>
        <w:spacing w:line="600" w:lineRule="exact"/>
        <w:ind w:firstLine="640" w:firstLineChars="200"/>
        <w:rPr>
          <w:rFonts w:ascii="仿宋" w:hAnsi="仿宋" w:eastAsia="仿宋" w:cs="仿宋"/>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园区范围内各工业企业安全处置、综合利用及安全贮存的工业固体废物量（含危险废物）之和与当年工业固体废物总产生量的比值。</w:t>
      </w:r>
    </w:p>
    <w:p>
      <w:pPr>
        <w:spacing w:line="600" w:lineRule="exact"/>
        <w:ind w:firstLine="640" w:firstLineChars="200"/>
        <w:rPr>
          <w:rFonts w:eastAsia="仿宋_GB2312"/>
          <w:sz w:val="32"/>
          <w:szCs w:val="32"/>
        </w:rPr>
      </w:pPr>
      <w:r>
        <w:rPr>
          <w:rFonts w:hint="eastAsia" w:ascii="仿宋" w:hAnsi="仿宋" w:eastAsia="仿宋" w:cs="仿宋"/>
          <w:bCs/>
          <w:sz w:val="32"/>
          <w:szCs w:val="32"/>
        </w:rPr>
        <w:t>计算公式：</w:t>
      </w:r>
      <w:r>
        <w:rPr>
          <w:rFonts w:hint="eastAsia" w:ascii="仿宋" w:hAnsi="仿宋" w:eastAsia="仿宋" w:cs="仿宋"/>
          <w:sz w:val="32"/>
          <w:szCs w:val="32"/>
        </w:rPr>
        <w:t>工业固体废弃物（含危</w:t>
      </w:r>
      <w:r>
        <w:rPr>
          <w:rFonts w:eastAsia="仿宋"/>
          <w:sz w:val="32"/>
          <w:szCs w:val="32"/>
        </w:rPr>
        <w:t>废）处置利用率（%）=园区当年工业固体废物处置利用量（含危险废物）（t）/园区当年工业固体废物总产生量（t）×100%。</w:t>
      </w:r>
    </w:p>
    <w:p>
      <w:pPr>
        <w:spacing w:line="600" w:lineRule="exact"/>
        <w:ind w:firstLine="630"/>
        <w:rPr>
          <w:rFonts w:ascii="楷体" w:hAnsi="楷体" w:eastAsia="楷体" w:cs="楷体"/>
          <w:sz w:val="32"/>
          <w:szCs w:val="32"/>
        </w:rPr>
      </w:pPr>
      <w:r>
        <w:rPr>
          <w:rFonts w:ascii="楷体" w:hAnsi="楷体" w:eastAsia="楷体" w:cs="楷体"/>
          <w:sz w:val="32"/>
          <w:szCs w:val="32"/>
        </w:rPr>
        <w:t>（二）万元工业增加值碳排放量消减率（必选）</w:t>
      </w:r>
    </w:p>
    <w:p>
      <w:pPr>
        <w:spacing w:line="600" w:lineRule="exact"/>
        <w:ind w:firstLine="640" w:firstLineChars="200"/>
        <w:rPr>
          <w:rFonts w:eastAsia="仿宋"/>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园区内工业企业产生单位工业增加值所排放的二氧化碳当量的创建期年均消减率。创建期是指绿色工业园区创建周期。</w:t>
      </w:r>
    </w:p>
    <w:p>
      <w:pPr>
        <w:spacing w:line="600" w:lineRule="exact"/>
        <w:ind w:firstLine="640" w:firstLineChars="200"/>
        <w:rPr>
          <w:rFonts w:eastAsia="仿宋"/>
          <w:sz w:val="32"/>
          <w:szCs w:val="32"/>
        </w:rPr>
      </w:pPr>
      <w:r>
        <w:rPr>
          <w:rFonts w:eastAsia="仿宋"/>
          <w:bCs/>
          <w:sz w:val="32"/>
          <w:szCs w:val="32"/>
        </w:rPr>
        <w:t>计算公式：</w:t>
      </w:r>
      <w:r>
        <w:rPr>
          <w:rFonts w:eastAsia="仿宋"/>
          <w:sz w:val="32"/>
          <w:szCs w:val="32"/>
        </w:rPr>
        <w:t>万元工业增加值碳排放量消减率（%）=[1-（验收年单位工业增加值二氧化碳排放量(tCO</w:t>
      </w:r>
      <w:r>
        <w:rPr>
          <w:rFonts w:eastAsia="仿宋"/>
          <w:sz w:val="32"/>
          <w:szCs w:val="32"/>
          <w:vertAlign w:val="subscript"/>
        </w:rPr>
        <w:t>2-eq</w:t>
      </w:r>
      <w:r>
        <w:rPr>
          <w:rFonts w:eastAsia="仿宋"/>
          <w:sz w:val="32"/>
          <w:szCs w:val="32"/>
        </w:rPr>
        <w:t>/万元)/创建基准年单位工业增加值二氧化碳排放量(tCO</w:t>
      </w:r>
      <w:r>
        <w:rPr>
          <w:rFonts w:eastAsia="仿宋"/>
          <w:sz w:val="32"/>
          <w:szCs w:val="32"/>
          <w:vertAlign w:val="subscript"/>
        </w:rPr>
        <w:t>2-eq</w:t>
      </w:r>
      <w:r>
        <w:rPr>
          <w:rFonts w:eastAsia="仿宋"/>
          <w:sz w:val="32"/>
          <w:szCs w:val="32"/>
        </w:rPr>
        <w:t>/万元)）</w:t>
      </w:r>
      <w:r>
        <w:rPr>
          <w:rFonts w:eastAsia="仿宋"/>
          <w:sz w:val="32"/>
          <w:szCs w:val="32"/>
          <w:vertAlign w:val="superscript"/>
        </w:rPr>
        <w:t>1/创建周期</w:t>
      </w:r>
      <w:r>
        <w:rPr>
          <w:rFonts w:eastAsia="仿宋"/>
          <w:sz w:val="32"/>
          <w:szCs w:val="32"/>
        </w:rPr>
        <w:t>]×100%。</w:t>
      </w:r>
    </w:p>
    <w:p>
      <w:pPr>
        <w:spacing w:line="600" w:lineRule="exact"/>
        <w:ind w:firstLine="630"/>
        <w:rPr>
          <w:rFonts w:ascii="楷体" w:hAnsi="楷体" w:eastAsia="楷体" w:cs="楷体"/>
          <w:sz w:val="32"/>
          <w:szCs w:val="32"/>
        </w:rPr>
      </w:pPr>
      <w:r>
        <w:rPr>
          <w:rFonts w:ascii="楷体" w:hAnsi="楷体" w:eastAsia="楷体" w:cs="楷体"/>
          <w:sz w:val="32"/>
          <w:szCs w:val="32"/>
        </w:rPr>
        <w:t>（三）单位工业增加值废水排放量（必选）</w:t>
      </w:r>
    </w:p>
    <w:p>
      <w:pPr>
        <w:spacing w:line="600" w:lineRule="exact"/>
        <w:ind w:firstLine="640" w:firstLineChars="200"/>
        <w:rPr>
          <w:rFonts w:ascii="仿宋" w:hAnsi="仿宋" w:eastAsia="仿宋" w:cs="仿宋"/>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指园区单位工业增加值排放的工业废水量，不包括企业梯级利用的废水和园区内居民排放的生活废水。</w:t>
      </w:r>
    </w:p>
    <w:p>
      <w:pPr>
        <w:spacing w:line="600" w:lineRule="exact"/>
        <w:ind w:firstLine="640" w:firstLineChars="200"/>
        <w:rPr>
          <w:rFonts w:eastAsia="仿宋_GB2312"/>
          <w:sz w:val="32"/>
          <w:szCs w:val="32"/>
        </w:rPr>
      </w:pPr>
      <w:r>
        <w:rPr>
          <w:rFonts w:hint="eastAsia" w:ascii="仿宋" w:hAnsi="仿宋" w:eastAsia="仿宋" w:cs="仿宋"/>
          <w:bCs/>
          <w:sz w:val="32"/>
          <w:szCs w:val="32"/>
        </w:rPr>
        <w:t>计算公式</w:t>
      </w:r>
      <w:r>
        <w:rPr>
          <w:rFonts w:hint="eastAsia" w:ascii="仿宋" w:hAnsi="仿宋" w:eastAsia="仿宋" w:cs="仿宋"/>
          <w:sz w:val="32"/>
          <w:szCs w:val="32"/>
        </w:rPr>
        <w:t>：单位工业增加值废水排放量（t/万元）=园区工业废水排放总量（t）/园区工业增加值总量（万元）。</w:t>
      </w:r>
    </w:p>
    <w:p>
      <w:pPr>
        <w:spacing w:line="600" w:lineRule="exact"/>
        <w:ind w:firstLine="630"/>
        <w:rPr>
          <w:rFonts w:ascii="楷体" w:hAnsi="楷体" w:eastAsia="楷体" w:cs="楷体"/>
          <w:sz w:val="32"/>
          <w:szCs w:val="32"/>
        </w:rPr>
      </w:pPr>
      <w:r>
        <w:rPr>
          <w:rFonts w:ascii="楷体" w:hAnsi="楷体" w:eastAsia="楷体" w:cs="楷体"/>
          <w:sz w:val="32"/>
          <w:szCs w:val="32"/>
        </w:rPr>
        <w:t>（四）主要污染物弹性系数（必选）</w:t>
      </w:r>
    </w:p>
    <w:p>
      <w:pPr>
        <w:spacing w:line="560" w:lineRule="exact"/>
        <w:ind w:firstLine="640" w:firstLineChars="200"/>
        <w:rPr>
          <w:rFonts w:eastAsia="仿宋"/>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：指园区内工业企业排放的各类主要污染物排放弹性系数的算术平均值。其中，主要污染物指从创建基准年到</w:t>
      </w:r>
      <w:r>
        <w:rPr>
          <w:rFonts w:eastAsia="仿宋"/>
          <w:sz w:val="32"/>
          <w:szCs w:val="32"/>
        </w:rPr>
        <w:t>验收年，国家政策明确要求总量减排和控制的污染物，包括COD、SO</w:t>
      </w:r>
      <w:r>
        <w:rPr>
          <w:rFonts w:eastAsia="仿宋"/>
          <w:sz w:val="32"/>
          <w:szCs w:val="32"/>
          <w:vertAlign w:val="subscript"/>
        </w:rPr>
        <w:t>2</w:t>
      </w:r>
      <w:r>
        <w:rPr>
          <w:rFonts w:eastAsia="仿宋"/>
          <w:sz w:val="32"/>
          <w:szCs w:val="32"/>
        </w:rPr>
        <w:t>、氨氮、NO</w:t>
      </w:r>
      <w:r>
        <w:rPr>
          <w:rFonts w:eastAsia="仿宋"/>
          <w:sz w:val="32"/>
          <w:szCs w:val="32"/>
          <w:vertAlign w:val="subscript"/>
        </w:rPr>
        <w:t>X</w:t>
      </w:r>
      <w:r>
        <w:rPr>
          <w:rFonts w:eastAsia="仿宋"/>
          <w:sz w:val="32"/>
          <w:szCs w:val="32"/>
        </w:rPr>
        <w:t>等。某种主要污染物排放弹性系数，指园区内工业企业排放的某一种主要污染物排放总量的三年年均增长率与工业增加值三年年均增长率的比值。</w:t>
      </w:r>
    </w:p>
    <w:p>
      <w:pPr>
        <w:spacing w:line="560" w:lineRule="exact"/>
        <w:ind w:firstLine="640" w:firstLineChars="200"/>
        <w:rPr>
          <w:rFonts w:eastAsia="仿宋"/>
          <w:sz w:val="32"/>
          <w:szCs w:val="32"/>
        </w:rPr>
      </w:pPr>
      <w:r>
        <w:rPr>
          <w:rFonts w:eastAsia="仿宋"/>
          <w:bCs/>
          <w:sz w:val="32"/>
          <w:szCs w:val="32"/>
        </w:rPr>
        <w:t>计算公式</w:t>
      </w:r>
      <w:r>
        <w:rPr>
          <w:rFonts w:eastAsia="仿宋"/>
          <w:sz w:val="32"/>
          <w:szCs w:val="32"/>
        </w:rPr>
        <w:t>：某种污染物排放弹性系数=某种污染物排放量创建周期年均增长率（%）/园区工业增加值创建周期年均增长率（%）；主要污染物排放弹性系数=主要污染物排放弹性系数之和/污染物个数。</w:t>
      </w:r>
    </w:p>
    <w:p>
      <w:pPr>
        <w:spacing w:line="560" w:lineRule="exact"/>
        <w:ind w:firstLine="630"/>
        <w:rPr>
          <w:rFonts w:eastAsia="楷体"/>
          <w:sz w:val="32"/>
          <w:szCs w:val="32"/>
        </w:rPr>
      </w:pPr>
      <w:r>
        <w:rPr>
          <w:rFonts w:eastAsia="楷体"/>
          <w:sz w:val="32"/>
          <w:szCs w:val="32"/>
        </w:rPr>
        <w:t>（五）园区空气质量优良率（必选）</w:t>
      </w:r>
    </w:p>
    <w:p>
      <w:pPr>
        <w:spacing w:line="560" w:lineRule="exact"/>
        <w:ind w:firstLine="640" w:firstLineChars="200"/>
        <w:rPr>
          <w:rFonts w:eastAsia="仿宋_GB2312"/>
          <w:sz w:val="32"/>
          <w:szCs w:val="32"/>
        </w:rPr>
      </w:pPr>
      <w:r>
        <w:rPr>
          <w:rFonts w:eastAsia="仿宋"/>
          <w:bCs/>
          <w:sz w:val="32"/>
          <w:szCs w:val="32"/>
        </w:rPr>
        <w:t>指标解释：</w:t>
      </w:r>
      <w:r>
        <w:rPr>
          <w:rFonts w:eastAsia="仿宋"/>
          <w:sz w:val="32"/>
          <w:szCs w:val="32"/>
        </w:rPr>
        <w:t>指空气质量优良天数占全年天数的比例。空气质量优良等级按照GB 3085《环境空气质量标准》确定。</w:t>
      </w:r>
    </w:p>
    <w:p>
      <w:pPr>
        <w:spacing w:line="560" w:lineRule="exact"/>
        <w:ind w:firstLine="630"/>
        <w:rPr>
          <w:rFonts w:eastAsia="楷体"/>
          <w:sz w:val="32"/>
          <w:szCs w:val="32"/>
        </w:rPr>
      </w:pPr>
      <w:r>
        <w:rPr>
          <w:rFonts w:eastAsia="楷体"/>
          <w:sz w:val="32"/>
          <w:szCs w:val="32"/>
        </w:rPr>
        <w:t>（六）绿化覆盖率（可选）</w:t>
      </w:r>
    </w:p>
    <w:p>
      <w:pPr>
        <w:spacing w:line="560" w:lineRule="exact"/>
        <w:ind w:firstLine="640" w:firstLineChars="200"/>
        <w:rPr>
          <w:rFonts w:eastAsia="仿宋"/>
          <w:sz w:val="32"/>
          <w:szCs w:val="32"/>
        </w:rPr>
      </w:pPr>
      <w:r>
        <w:rPr>
          <w:rFonts w:eastAsia="仿宋"/>
          <w:bCs/>
          <w:sz w:val="32"/>
          <w:szCs w:val="32"/>
        </w:rPr>
        <w:t>指标解释：</w:t>
      </w:r>
      <w:r>
        <w:rPr>
          <w:rFonts w:eastAsia="仿宋"/>
          <w:sz w:val="32"/>
          <w:szCs w:val="32"/>
        </w:rPr>
        <w:t>园区内各类绿地总面积与园区规划范围内用地总面积的比值。</w:t>
      </w:r>
    </w:p>
    <w:p>
      <w:pPr>
        <w:spacing w:line="560" w:lineRule="exact"/>
        <w:ind w:firstLine="640" w:firstLineChars="200"/>
        <w:rPr>
          <w:rFonts w:eastAsia="仿宋"/>
          <w:sz w:val="32"/>
          <w:szCs w:val="32"/>
        </w:rPr>
      </w:pPr>
      <w:r>
        <w:rPr>
          <w:rFonts w:eastAsia="仿宋"/>
          <w:bCs/>
          <w:sz w:val="32"/>
          <w:szCs w:val="32"/>
        </w:rPr>
        <w:t>计算公式：</w:t>
      </w:r>
      <w:r>
        <w:rPr>
          <w:rFonts w:eastAsia="仿宋"/>
          <w:sz w:val="32"/>
          <w:szCs w:val="32"/>
        </w:rPr>
        <w:t>绿色覆盖率（%）=园区内各类绿地总面积（m</w:t>
      </w:r>
      <w:r>
        <w:rPr>
          <w:rFonts w:eastAsia="仿宋"/>
          <w:sz w:val="32"/>
          <w:szCs w:val="32"/>
          <w:vertAlign w:val="superscript"/>
        </w:rPr>
        <w:t>2</w:t>
      </w:r>
      <w:r>
        <w:rPr>
          <w:rFonts w:eastAsia="仿宋"/>
          <w:sz w:val="32"/>
          <w:szCs w:val="32"/>
        </w:rPr>
        <w:t>）/园区用地总面积（m</w:t>
      </w:r>
      <w:r>
        <w:rPr>
          <w:rFonts w:eastAsia="仿宋"/>
          <w:sz w:val="32"/>
          <w:szCs w:val="32"/>
          <w:vertAlign w:val="superscript"/>
        </w:rPr>
        <w:t>2</w:t>
      </w:r>
      <w:r>
        <w:rPr>
          <w:rFonts w:eastAsia="仿宋"/>
          <w:sz w:val="32"/>
          <w:szCs w:val="32"/>
        </w:rPr>
        <w:t>）×100%。</w:t>
      </w:r>
    </w:p>
    <w:p>
      <w:pPr>
        <w:spacing w:line="560" w:lineRule="exact"/>
        <w:ind w:firstLine="630"/>
        <w:rPr>
          <w:rFonts w:eastAsia="楷体"/>
          <w:sz w:val="32"/>
          <w:szCs w:val="32"/>
        </w:rPr>
      </w:pPr>
      <w:r>
        <w:rPr>
          <w:rFonts w:eastAsia="楷体"/>
          <w:sz w:val="32"/>
          <w:szCs w:val="32"/>
        </w:rPr>
        <w:t>（七）道路遮荫比例（可选）</w:t>
      </w:r>
    </w:p>
    <w:p>
      <w:pPr>
        <w:spacing w:line="560" w:lineRule="exact"/>
        <w:ind w:firstLine="640" w:firstLineChars="200"/>
        <w:rPr>
          <w:rFonts w:eastAsia="仿宋"/>
          <w:sz w:val="32"/>
          <w:szCs w:val="32"/>
        </w:rPr>
      </w:pPr>
      <w:r>
        <w:rPr>
          <w:rFonts w:eastAsia="仿宋"/>
          <w:bCs/>
          <w:sz w:val="32"/>
          <w:szCs w:val="32"/>
        </w:rPr>
        <w:t>指标解释：</w:t>
      </w:r>
      <w:r>
        <w:rPr>
          <w:rFonts w:eastAsia="仿宋"/>
          <w:sz w:val="32"/>
          <w:szCs w:val="32"/>
        </w:rPr>
        <w:t>指道路两旁树冠垂直投影遮蔽的总阴影面积与步行道路总面积的比值。</w:t>
      </w:r>
    </w:p>
    <w:p>
      <w:pPr>
        <w:spacing w:line="560" w:lineRule="exact"/>
        <w:ind w:firstLine="640" w:firstLineChars="200"/>
        <w:rPr>
          <w:rFonts w:eastAsia="仿宋_GB2312"/>
          <w:sz w:val="32"/>
          <w:szCs w:val="32"/>
        </w:rPr>
      </w:pPr>
      <w:r>
        <w:rPr>
          <w:rFonts w:eastAsia="仿宋"/>
          <w:bCs/>
          <w:sz w:val="32"/>
          <w:szCs w:val="32"/>
        </w:rPr>
        <w:t>计算公式：</w:t>
      </w:r>
      <w:r>
        <w:rPr>
          <w:rFonts w:eastAsia="仿宋"/>
          <w:sz w:val="32"/>
          <w:szCs w:val="32"/>
        </w:rPr>
        <w:t>道路遮荫比例（%）=道路两旁树冠垂直投影遮蔽的总阴影面积（m</w:t>
      </w:r>
      <w:r>
        <w:rPr>
          <w:rFonts w:eastAsia="仿宋"/>
          <w:sz w:val="32"/>
          <w:szCs w:val="32"/>
          <w:vertAlign w:val="superscript"/>
        </w:rPr>
        <w:t>2</w:t>
      </w:r>
      <w:r>
        <w:rPr>
          <w:rFonts w:eastAsia="仿宋"/>
          <w:sz w:val="32"/>
          <w:szCs w:val="32"/>
        </w:rPr>
        <w:t>）/步行道路总面积（m</w:t>
      </w:r>
      <w:r>
        <w:rPr>
          <w:rFonts w:eastAsia="仿宋"/>
          <w:sz w:val="32"/>
          <w:szCs w:val="32"/>
          <w:vertAlign w:val="superscript"/>
        </w:rPr>
        <w:t>2</w:t>
      </w:r>
      <w:r>
        <w:rPr>
          <w:rFonts w:eastAsia="仿宋"/>
          <w:sz w:val="32"/>
          <w:szCs w:val="32"/>
        </w:rPr>
        <w:t>）×100%。</w:t>
      </w:r>
    </w:p>
    <w:p>
      <w:pPr>
        <w:spacing w:line="560" w:lineRule="exact"/>
        <w:ind w:firstLine="630"/>
        <w:rPr>
          <w:rFonts w:eastAsia="楷体"/>
          <w:sz w:val="32"/>
          <w:szCs w:val="32"/>
        </w:rPr>
      </w:pPr>
      <w:r>
        <w:rPr>
          <w:rFonts w:eastAsia="楷体"/>
          <w:sz w:val="32"/>
          <w:szCs w:val="32"/>
        </w:rPr>
        <w:t>（八）露天停车场遮荫比例（可选）</w:t>
      </w:r>
    </w:p>
    <w:p>
      <w:pPr>
        <w:spacing w:line="560" w:lineRule="exact"/>
        <w:ind w:firstLine="640" w:firstLineChars="200"/>
        <w:rPr>
          <w:rFonts w:eastAsia="仿宋"/>
          <w:sz w:val="32"/>
          <w:szCs w:val="32"/>
        </w:rPr>
      </w:pPr>
      <w:r>
        <w:rPr>
          <w:rFonts w:eastAsia="仿宋"/>
          <w:bCs/>
          <w:sz w:val="32"/>
          <w:szCs w:val="32"/>
        </w:rPr>
        <w:t>指标要求：</w:t>
      </w:r>
      <w:r>
        <w:rPr>
          <w:rFonts w:eastAsia="仿宋"/>
          <w:sz w:val="32"/>
          <w:szCs w:val="32"/>
        </w:rPr>
        <w:t>露天停车场遮阴比例应达到80%。</w:t>
      </w:r>
    </w:p>
    <w:p>
      <w:pPr>
        <w:spacing w:line="560" w:lineRule="exact"/>
        <w:ind w:firstLine="640" w:firstLineChars="200"/>
        <w:rPr>
          <w:rFonts w:eastAsia="仿宋"/>
          <w:sz w:val="32"/>
          <w:szCs w:val="32"/>
        </w:rPr>
      </w:pPr>
      <w:r>
        <w:rPr>
          <w:rFonts w:eastAsia="仿宋"/>
          <w:bCs/>
          <w:sz w:val="32"/>
          <w:szCs w:val="32"/>
        </w:rPr>
        <w:t>指标解释：</w:t>
      </w:r>
      <w:r>
        <w:rPr>
          <w:rFonts w:eastAsia="仿宋"/>
          <w:sz w:val="32"/>
          <w:szCs w:val="32"/>
        </w:rPr>
        <w:t>指露天停车场树冠垂直投影遮蔽的总阴影面积与露天停车场总面积的比值。</w:t>
      </w:r>
    </w:p>
    <w:p>
      <w:pPr>
        <w:spacing w:line="560" w:lineRule="exact"/>
        <w:ind w:firstLine="640" w:firstLineChars="200"/>
        <w:rPr>
          <w:rFonts w:eastAsia="仿宋"/>
          <w:sz w:val="32"/>
          <w:szCs w:val="32"/>
        </w:rPr>
      </w:pPr>
      <w:r>
        <w:rPr>
          <w:rFonts w:eastAsia="仿宋"/>
          <w:bCs/>
          <w:sz w:val="32"/>
          <w:szCs w:val="32"/>
        </w:rPr>
        <w:t>计算公式：</w:t>
      </w:r>
      <w:r>
        <w:rPr>
          <w:rFonts w:eastAsia="仿宋"/>
          <w:sz w:val="32"/>
          <w:szCs w:val="32"/>
        </w:rPr>
        <w:t>露天停车场遮荫比例（%）=露天停车场树冠垂直投影遮蔽的总阴影面积（m</w:t>
      </w:r>
      <w:r>
        <w:rPr>
          <w:rFonts w:eastAsia="仿宋"/>
          <w:sz w:val="32"/>
          <w:szCs w:val="32"/>
          <w:vertAlign w:val="superscript"/>
        </w:rPr>
        <w:t>2</w:t>
      </w:r>
      <w:r>
        <w:rPr>
          <w:rFonts w:eastAsia="仿宋"/>
          <w:sz w:val="32"/>
          <w:szCs w:val="32"/>
        </w:rPr>
        <w:t>）/露天停车场总面积（m</w:t>
      </w:r>
      <w:r>
        <w:rPr>
          <w:rFonts w:eastAsia="仿宋"/>
          <w:sz w:val="32"/>
          <w:szCs w:val="32"/>
          <w:vertAlign w:val="superscript"/>
        </w:rPr>
        <w:t>2</w:t>
      </w:r>
      <w:r>
        <w:rPr>
          <w:rFonts w:eastAsia="仿宋"/>
          <w:sz w:val="32"/>
          <w:szCs w:val="32"/>
        </w:rPr>
        <w:t>）</w:t>
      </w:r>
      <w:r>
        <w:rPr>
          <w:rFonts w:eastAsia="仿宋"/>
          <w:color w:val="333333"/>
          <w:sz w:val="32"/>
          <w:szCs w:val="32"/>
          <w:shd w:val="clear" w:color="auto" w:fill="FFFFFF"/>
        </w:rPr>
        <w:t>×</w:t>
      </w:r>
      <w:r>
        <w:rPr>
          <w:rFonts w:eastAsia="仿宋"/>
          <w:sz w:val="32"/>
          <w:szCs w:val="32"/>
        </w:rPr>
        <w:t>100%。</w:t>
      </w:r>
    </w:p>
    <w:p>
      <w:pPr>
        <w:spacing w:line="560" w:lineRule="exact"/>
        <w:ind w:firstLine="640" w:firstLineChars="200"/>
        <w:rPr>
          <w:rFonts w:eastAsia="黑体"/>
          <w:bCs/>
          <w:sz w:val="32"/>
          <w:szCs w:val="32"/>
        </w:rPr>
      </w:pPr>
      <w:r>
        <w:rPr>
          <w:rFonts w:eastAsia="黑体"/>
          <w:bCs/>
          <w:sz w:val="32"/>
          <w:szCs w:val="32"/>
        </w:rPr>
        <w:t>七、运行管理绿色化指标（3个必选指标）</w:t>
      </w:r>
    </w:p>
    <w:p>
      <w:pPr>
        <w:spacing w:line="560" w:lineRule="exact"/>
        <w:ind w:firstLine="640" w:firstLineChars="200"/>
        <w:rPr>
          <w:rFonts w:eastAsia="仿宋_GB2312"/>
          <w:sz w:val="32"/>
          <w:szCs w:val="32"/>
        </w:rPr>
      </w:pPr>
      <w:r>
        <w:rPr>
          <w:rFonts w:eastAsia="仿宋_GB2312"/>
          <w:sz w:val="32"/>
          <w:szCs w:val="32"/>
        </w:rPr>
        <w:t>运行管理绿色化指标包括绿色工业园区标准体系完善程度、编制绿色工业园区发展规划、绿色工业园区信息平台完善程度3个必选指标。</w:t>
      </w:r>
    </w:p>
    <w:p>
      <w:pPr>
        <w:spacing w:line="560" w:lineRule="exact"/>
        <w:ind w:firstLine="630"/>
        <w:rPr>
          <w:rFonts w:eastAsia="楷体"/>
          <w:sz w:val="32"/>
          <w:szCs w:val="32"/>
        </w:rPr>
      </w:pPr>
      <w:r>
        <w:rPr>
          <w:rFonts w:eastAsia="楷体"/>
          <w:sz w:val="32"/>
          <w:szCs w:val="32"/>
        </w:rPr>
        <w:t>（一）绿色工业园区标准体系完善程度（必选）</w:t>
      </w:r>
    </w:p>
    <w:p>
      <w:pPr>
        <w:spacing w:line="560" w:lineRule="exact"/>
        <w:ind w:firstLine="640" w:firstLineChars="200"/>
        <w:rPr>
          <w:rFonts w:eastAsia="仿宋_GB2312"/>
          <w:sz w:val="32"/>
          <w:szCs w:val="32"/>
        </w:rPr>
      </w:pPr>
      <w:r>
        <w:rPr>
          <w:rFonts w:eastAsia="仿宋"/>
          <w:bCs/>
          <w:sz w:val="32"/>
          <w:szCs w:val="32"/>
        </w:rPr>
        <w:t>指标解释：</w:t>
      </w:r>
      <w:r>
        <w:rPr>
          <w:rFonts w:eastAsia="仿宋"/>
          <w:sz w:val="32"/>
          <w:szCs w:val="32"/>
        </w:rPr>
        <w:t>主要考核是否建立与其产业链和主导产业相适应的绿色工业园区标准体系，具体包括能源利用绿色化标准、资源利用绿色化标准、基础设施绿色化标准、产业绿色化标准、生态环境绿色化标准等；是否制定监管强制性绿色相关标准执行的有关制度文件；是否开展绿色相关标准的宣贯和培训等。</w:t>
      </w:r>
    </w:p>
    <w:p>
      <w:pPr>
        <w:spacing w:line="560" w:lineRule="exact"/>
        <w:ind w:firstLine="630"/>
        <w:rPr>
          <w:rFonts w:eastAsia="楷体"/>
          <w:sz w:val="32"/>
          <w:szCs w:val="32"/>
        </w:rPr>
      </w:pPr>
      <w:r>
        <w:rPr>
          <w:rFonts w:eastAsia="楷体"/>
          <w:sz w:val="32"/>
          <w:szCs w:val="32"/>
        </w:rPr>
        <w:t>（二）编制绿色工业园区发展规划（必选）</w:t>
      </w:r>
    </w:p>
    <w:p>
      <w:pPr>
        <w:spacing w:line="560" w:lineRule="exact"/>
        <w:ind w:firstLine="640" w:firstLineChars="200"/>
        <w:rPr>
          <w:rFonts w:eastAsia="仿宋_GB2312"/>
          <w:sz w:val="32"/>
          <w:szCs w:val="32"/>
        </w:rPr>
      </w:pPr>
      <w:r>
        <w:rPr>
          <w:rFonts w:eastAsia="仿宋"/>
          <w:bCs/>
          <w:sz w:val="32"/>
          <w:szCs w:val="32"/>
        </w:rPr>
        <w:t>指标解释：</w:t>
      </w:r>
      <w:r>
        <w:rPr>
          <w:rFonts w:eastAsia="仿宋"/>
          <w:sz w:val="32"/>
          <w:szCs w:val="32"/>
        </w:rPr>
        <w:t>按照本实施方案的创建内容编制绿色工业园区发展规划，原则上每五年编制一次。</w:t>
      </w:r>
    </w:p>
    <w:p>
      <w:pPr>
        <w:spacing w:line="560" w:lineRule="exact"/>
        <w:ind w:firstLine="630"/>
        <w:rPr>
          <w:rFonts w:eastAsia="楷体"/>
          <w:sz w:val="32"/>
          <w:szCs w:val="32"/>
        </w:rPr>
      </w:pPr>
      <w:r>
        <w:rPr>
          <w:rFonts w:eastAsia="楷体_GB2312"/>
          <w:sz w:val="32"/>
          <w:szCs w:val="32"/>
        </w:rPr>
        <w:t>（三）</w:t>
      </w:r>
      <w:r>
        <w:rPr>
          <w:rFonts w:eastAsia="楷体"/>
          <w:sz w:val="32"/>
          <w:szCs w:val="32"/>
        </w:rPr>
        <w:t>绿色工业园区信息平台完善程度（必选）</w:t>
      </w:r>
    </w:p>
    <w:p>
      <w:pPr>
        <w:spacing w:line="560" w:lineRule="exact"/>
        <w:ind w:firstLine="640" w:firstLineChars="200"/>
        <w:rPr>
          <w:rFonts w:eastAsia="仿宋"/>
        </w:rPr>
      </w:pPr>
      <w:r>
        <w:rPr>
          <w:rFonts w:eastAsia="仿宋"/>
          <w:bCs/>
          <w:sz w:val="32"/>
          <w:szCs w:val="32"/>
        </w:rPr>
        <w:t>指标解释：</w:t>
      </w:r>
      <w:r>
        <w:rPr>
          <w:rFonts w:eastAsia="仿宋"/>
          <w:sz w:val="32"/>
          <w:szCs w:val="32"/>
        </w:rPr>
        <w:t>主要考核是否创建局域网；是否定期在园区管委会网站、局域网或相关网站上发布绿色工业园区建设和改造信息；是否在园区局域网上有园区主导行业清洁生产技术信息（主要包括原材料选择、节水、节能、环保等方面）、废物资源化技术信息、绿色建筑技术信息、绿色交通技术信息等。</w:t>
      </w:r>
    </w:p>
    <w:p>
      <w:pPr>
        <w:jc w:val="center"/>
        <w:rPr>
          <w:rFonts w:eastAsia="黑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C293C2B-DC29-45A4-B8AF-6643CFCDEFF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6AAAD367-D563-4F29-9F5D-9482BE5B457A}"/>
  </w:font>
  <w:font w:name="楷体">
    <w:panose1 w:val="02010609060101010101"/>
    <w:charset w:val="86"/>
    <w:family w:val="modern"/>
    <w:pitch w:val="default"/>
    <w:sig w:usb0="800002BF" w:usb1="38CF7CFA" w:usb2="00000016" w:usb3="00000000" w:csb0="00040001" w:csb1="00000000"/>
    <w:embedRegular r:id="rId3" w:fontKey="{08436676-3D71-4747-8B11-3CD7D1C7E9D4}"/>
  </w:font>
  <w:font w:name="仿宋">
    <w:panose1 w:val="02010609060101010101"/>
    <w:charset w:val="86"/>
    <w:family w:val="modern"/>
    <w:pitch w:val="default"/>
    <w:sig w:usb0="800002BF" w:usb1="38CF7CFA" w:usb2="00000016" w:usb3="00000000" w:csb0="00040001" w:csb1="00000000"/>
    <w:embedRegular r:id="rId4" w:fontKey="{7DDA8C6F-D118-4983-BBFA-C1FC4BDADBBA}"/>
  </w:font>
  <w:font w:name="仿宋_GB2312">
    <w:altName w:val="仿宋"/>
    <w:panose1 w:val="02010609030101010101"/>
    <w:charset w:val="86"/>
    <w:family w:val="modern"/>
    <w:pitch w:val="default"/>
    <w:sig w:usb0="00000000" w:usb1="00000000" w:usb2="00000010" w:usb3="00000000" w:csb0="00040000" w:csb1="00000000"/>
    <w:embedRegular r:id="rId5" w:fontKey="{F542272C-4393-4AF0-B48C-C2B5DFB314DF}"/>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10" w:usb3="00000000" w:csb0="00040000" w:csb1="00000000"/>
    <w:embedRegular r:id="rId6" w:fontKey="{4E958BD5-D635-4B67-872F-CE0D7D02C2BB}"/>
  </w:font>
  <w:font w:name="方正小标宋简体">
    <w:panose1 w:val="02000000000000000000"/>
    <w:charset w:val="86"/>
    <w:family w:val="script"/>
    <w:pitch w:val="default"/>
    <w:sig w:usb0="00000001" w:usb1="08000000" w:usb2="00000000" w:usb3="00000000" w:csb0="00040000" w:csb1="00000000"/>
    <w:embedRegular r:id="rId7" w:fontKey="{59BC4F5C-C9C1-40DF-A011-C8A29CB3DA2C}"/>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RmMTMwYmEzM2YzNGEwN2Q5NmEyMDNiYjJkZDk0MWUifQ=="/>
  </w:docVars>
  <w:rsids>
    <w:rsidRoot w:val="14BB512B"/>
    <w:rsid w:val="14BB512B"/>
    <w:rsid w:val="4C373098"/>
    <w:rsid w:val="759C7D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列出段落1"/>
    <w:basedOn w:val="1"/>
    <w:qFormat/>
    <w:uiPriority w:val="34"/>
    <w:pPr>
      <w:suppressAutoHyphens/>
      <w:bidi w:val="0"/>
      <w:ind w:firstLine="420" w:firstLineChars="200"/>
    </w:pPr>
    <w:rPr>
      <w:rFonts w:ascii="Calibri" w:hAnsi="Calibri" w:eastAsia="宋体" w:cs="Times New Roman"/>
      <w:color w:val="auto"/>
    </w:rPr>
  </w:style>
  <w:style w:type="paragraph" w:customStyle="1" w:styleId="5">
    <w:name w:val="段"/>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3.wmf"/><Relationship Id="rId7" Type="http://schemas.openxmlformats.org/officeDocument/2006/relationships/oleObject" Target="embeddings/oleObject2.bin"/><Relationship Id="rId6" Type="http://schemas.openxmlformats.org/officeDocument/2006/relationships/image" Target="media/image2.wmf"/><Relationship Id="rId5" Type="http://schemas.openxmlformats.org/officeDocument/2006/relationships/oleObject" Target="embeddings/oleObject1.bin"/><Relationship Id="rId42" Type="http://schemas.openxmlformats.org/officeDocument/2006/relationships/fontTable" Target="fontTable.xml"/><Relationship Id="rId41" Type="http://schemas.openxmlformats.org/officeDocument/2006/relationships/oleObject" Target="embeddings/oleObject24.bin"/><Relationship Id="rId40" Type="http://schemas.openxmlformats.org/officeDocument/2006/relationships/image" Target="media/image14.wmf"/><Relationship Id="rId4" Type="http://schemas.openxmlformats.org/officeDocument/2006/relationships/image" Target="media/image1.png"/><Relationship Id="rId39" Type="http://schemas.openxmlformats.org/officeDocument/2006/relationships/oleObject" Target="embeddings/oleObject23.bin"/><Relationship Id="rId38" Type="http://schemas.openxmlformats.org/officeDocument/2006/relationships/oleObject" Target="embeddings/oleObject22.bin"/><Relationship Id="rId37" Type="http://schemas.openxmlformats.org/officeDocument/2006/relationships/image" Target="media/image13.wmf"/><Relationship Id="rId36" Type="http://schemas.openxmlformats.org/officeDocument/2006/relationships/oleObject" Target="embeddings/oleObject21.bin"/><Relationship Id="rId35" Type="http://schemas.openxmlformats.org/officeDocument/2006/relationships/oleObject" Target="embeddings/oleObject20.bin"/><Relationship Id="rId34" Type="http://schemas.openxmlformats.org/officeDocument/2006/relationships/image" Target="media/image12.wmf"/><Relationship Id="rId33" Type="http://schemas.openxmlformats.org/officeDocument/2006/relationships/oleObject" Target="embeddings/oleObject19.bin"/><Relationship Id="rId32" Type="http://schemas.openxmlformats.org/officeDocument/2006/relationships/oleObject" Target="embeddings/oleObject18.bin"/><Relationship Id="rId31" Type="http://schemas.openxmlformats.org/officeDocument/2006/relationships/image" Target="media/image11.wmf"/><Relationship Id="rId30" Type="http://schemas.openxmlformats.org/officeDocument/2006/relationships/oleObject" Target="embeddings/oleObject17.bin"/><Relationship Id="rId3" Type="http://schemas.openxmlformats.org/officeDocument/2006/relationships/theme" Target="theme/theme1.xml"/><Relationship Id="rId29" Type="http://schemas.openxmlformats.org/officeDocument/2006/relationships/oleObject" Target="embeddings/oleObject16.bin"/><Relationship Id="rId28" Type="http://schemas.openxmlformats.org/officeDocument/2006/relationships/image" Target="media/image10.wmf"/><Relationship Id="rId27" Type="http://schemas.openxmlformats.org/officeDocument/2006/relationships/oleObject" Target="embeddings/oleObject15.bin"/><Relationship Id="rId26" Type="http://schemas.openxmlformats.org/officeDocument/2006/relationships/oleObject" Target="embeddings/oleObject14.bin"/><Relationship Id="rId25" Type="http://schemas.openxmlformats.org/officeDocument/2006/relationships/image" Target="media/image9.wmf"/><Relationship Id="rId24" Type="http://schemas.openxmlformats.org/officeDocument/2006/relationships/oleObject" Target="embeddings/oleObject13.bin"/><Relationship Id="rId23" Type="http://schemas.openxmlformats.org/officeDocument/2006/relationships/oleObject" Target="embeddings/oleObject12.bin"/><Relationship Id="rId22" Type="http://schemas.openxmlformats.org/officeDocument/2006/relationships/image" Target="media/image8.wmf"/><Relationship Id="rId21" Type="http://schemas.openxmlformats.org/officeDocument/2006/relationships/oleObject" Target="embeddings/oleObject11.bin"/><Relationship Id="rId20" Type="http://schemas.openxmlformats.org/officeDocument/2006/relationships/oleObject" Target="embeddings/oleObject10.bin"/><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oleObject" Target="embeddings/oleObject9.bin"/><Relationship Id="rId17" Type="http://schemas.openxmlformats.org/officeDocument/2006/relationships/oleObject" Target="embeddings/oleObject8.bin"/><Relationship Id="rId16" Type="http://schemas.openxmlformats.org/officeDocument/2006/relationships/image" Target="media/image6.wmf"/><Relationship Id="rId15" Type="http://schemas.openxmlformats.org/officeDocument/2006/relationships/oleObject" Target="embeddings/oleObject7.bin"/><Relationship Id="rId14" Type="http://schemas.openxmlformats.org/officeDocument/2006/relationships/oleObject" Target="embeddings/oleObject6.bin"/><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oleObject" Target="embeddings/oleObject4.bin"/><Relationship Id="rId10" Type="http://schemas.openxmlformats.org/officeDocument/2006/relationships/image" Target="media/image4.wmf"/><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2024-03-05T09:15:00Z</dcterms:created>
  <dc:creator>晚安</dc:creator>
  <cp:lastModifiedBy>晚安</cp:lastModifiedBy>
  <dcterms:modified xsi:type="dcterms:W3CDTF">2024-03-05T09:21:41Z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71E9593001B143D5A3AE27A3935BC479_11</vt:lpwstr>
  </property>
</Properties>
</file>