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/>
        <w:jc w:val="center"/>
        <w:rPr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/>
        <w:jc w:val="center"/>
        <w:rPr>
          <w:rFonts w:hint="eastAsia" w:ascii="新宋体" w:hAnsi="新宋体" w:eastAsia="新宋体" w:cs="新宋体"/>
          <w:b/>
          <w:bCs/>
          <w:i w:val="0"/>
          <w:iCs w:val="0"/>
          <w:sz w:val="44"/>
          <w:szCs w:val="44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sz w:val="44"/>
          <w:szCs w:val="44"/>
        </w:rPr>
        <w:t>关于组织开展2023年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sz w:val="44"/>
          <w:szCs w:val="44"/>
          <w:lang w:eastAsia="zh-CN"/>
        </w:rPr>
        <w:t>工信部工业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sz w:val="44"/>
          <w:szCs w:val="44"/>
        </w:rPr>
        <w:t>领域数据安全</w:t>
      </w:r>
      <w:bookmarkStart w:id="0" w:name="_GoBack"/>
      <w:bookmarkEnd w:id="0"/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sz w:val="44"/>
          <w:szCs w:val="44"/>
        </w:rPr>
        <w:t>典型案例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sz w:val="44"/>
          <w:szCs w:val="44"/>
          <w:lang w:eastAsia="zh-CN"/>
        </w:rPr>
        <w:t>申报推荐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sz w:val="44"/>
          <w:szCs w:val="44"/>
        </w:rPr>
        <w:t>工作的通知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各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区经信部门：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根据《省经信厅办公室关于组织开展2023年工信部工业领域数据安全典型案例申报推荐工作的通知》要求，为认真做好我市申报推荐工作，现就有关事项通知如下：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黑体" w:hAnsi="黑体" w:eastAsia="黑体" w:cs="黑体"/>
          <w:i w:val="0"/>
          <w:iCs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  <w:t>申报主体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（一）申报主体应为在我市注册登记，具有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独立法人资格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数据安全典型案例的实际应用方，具备一定的数据安全实践经验和创新能力，在安全、信誉和社会责任等方面无不良记录。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案例申报接受单独或联合申报，联合申报主体数量不得超过三家，可以包含专业从事数据安全工作的企业、高校和科研院所等。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  <w:t>申报条件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申报案例须为已验收投入使用、具备成熟体系架构和稳定运行效果的数据安全技术、产品和服务解决方案。同一申报主体申报领域和方向不限，最多申报三个案例，每个类型限制申报一个案例，同一案例不能重复申报。对于已列入工业和信息化部相关案例的，不可重复申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黑体" w:hAnsi="黑体" w:eastAsia="黑体" w:cs="黑体"/>
          <w:i w:val="0"/>
          <w:iCs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</w:rPr>
        <w:t>申报方向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楷体" w:hAnsi="楷体" w:eastAsia="楷体" w:cs="楷体"/>
          <w:i w:val="0"/>
          <w:iCs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i w:val="0"/>
          <w:iCs w:val="0"/>
          <w:caps w:val="0"/>
          <w:color w:val="070707"/>
          <w:spacing w:val="0"/>
          <w:sz w:val="32"/>
          <w:szCs w:val="32"/>
        </w:rPr>
        <w:t>数据安全基础共性方向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数据分类分级类案例：面向数据资产管理、重要数据识别需求，结合行业属性或特征，能够对数据进行智能化、精准化识别、归类和定级，并建立体系完备、动态更新的数据资产清单的案例。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数据脱敏类案例：在数据全生命周期流转过程中，应用智能化、自动化数据脱敏手段，能够实现敏感数据的自动识别、脱敏，并保证脱敏数据覆盖全面、完整可用的案例。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数据加密类案例：在数据全生命周期流转过程中，利用校验技术、密码技术、安全传输通道或安全传输协议，能够有效解决数据监听、窃取、篡改等安全问题的案例。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数据攻击检测类案例：采用攻击行为监测、异常流量监测、数据有效性校验、关键网络节点处检测等技术，应用数据防勒索、数据库防火墙等手段，建立攻击行为事前防御、事中监测和事后响应防护机制的案例。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数据防泄露类案例：面向网络数据防泄露、终端数据防泄露、存储数据防泄露和云数据防泄露等场景，运用监测数据采集、异常行为数据处理、异常行为分析告警等技术，建立规则和模型引擎，实现安全告警与实时响应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i w:val="0"/>
          <w:iCs w:val="0"/>
          <w:caps w:val="0"/>
          <w:color w:val="070707"/>
          <w:spacing w:val="0"/>
          <w:sz w:val="32"/>
          <w:szCs w:val="32"/>
        </w:rPr>
        <w:t>数据安全监测分析方向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数据安全监测感知类案例：面向数据流量异常、数据访问操作异常、数据接口调用异常等安全风险，采用风险识别与事件监测相结合的综合研判技术，探测发现威胁企业的数据安全事件，并提供完整追溯取证证据链，实现协同联动的数据安全态势感知、风险监测预警和应急处置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数据溯源类案例：面向数据提供、公开、出境等重点环节，利用数据标识、水印等溯源技术，保障数据流通共享过程中的完整性、可追溯性，实现安全事件发生后泄露源头追查和责任判定的案例。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楷体" w:hAnsi="楷体" w:eastAsia="楷体" w:cs="楷体"/>
          <w:i w:val="0"/>
          <w:iCs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i w:val="0"/>
          <w:iCs w:val="0"/>
          <w:caps w:val="0"/>
          <w:color w:val="070707"/>
          <w:spacing w:val="0"/>
          <w:sz w:val="32"/>
          <w:szCs w:val="32"/>
        </w:rPr>
        <w:t>数据安全体系整体设计实施方向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整体设计实施类案例：围绕组织架构、管理制度、技术措施，从数据资产管理、数据权限管理、数据风险识别和监测、数据安全事件处置、数据安全运维等方面建立一体化数据安全能力，实现数据安全防护整体协同、效率提升、成本可控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（四）</w:t>
      </w:r>
      <w:r>
        <w:rPr>
          <w:rFonts w:hint="eastAsia" w:ascii="楷体" w:hAnsi="楷体" w:eastAsia="楷体" w:cs="楷体"/>
          <w:i w:val="0"/>
          <w:iCs w:val="0"/>
          <w:caps w:val="0"/>
          <w:color w:val="070707"/>
          <w:spacing w:val="0"/>
          <w:sz w:val="32"/>
          <w:szCs w:val="32"/>
        </w:rPr>
        <w:t>其他方向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电信和互联网领域隐私计算类案例：利用安全多方计算、联邦学习、可信执行环境等技术，在保证隐私数据安全的前提下，能够联合多个参与方利用数据进行计算分析，促进数据有序流通和共享，释放数据价值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汽车数据安全保护类案例：针对车外人脸信息匿名化处理、座舱数据车内处理和处理个人信息显著告知等三项保护要求，形成技术、产品、服务一体化解决方案，提升汽车数据安全管理能力的案例。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3" w:firstLineChars="200"/>
        <w:jc w:val="left"/>
        <w:rPr>
          <w:rFonts w:hint="eastAsia" w:ascii="黑体" w:hAnsi="黑体" w:eastAsia="黑体" w:cs="黑体"/>
          <w:i w:val="0"/>
          <w:iCs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/>
          <w:bCs/>
          <w:i w:val="0"/>
          <w:iCs w:val="0"/>
          <w:caps w:val="0"/>
          <w:color w:val="070707"/>
          <w:spacing w:val="0"/>
          <w:sz w:val="32"/>
          <w:szCs w:val="32"/>
        </w:rPr>
        <w:t>四、要求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eastAsia="zh-CN"/>
        </w:rPr>
        <w:t>（一）请各申报主体在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10月18日前，将盖章的《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</w:rPr>
        <w:t>工业和信息化领域数据安全典型案例申报书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》（见附件二）纸质版一式四份、电子版光盘（含可编程word版和盖章扫描版）报送到所在区经信部门。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（二）请各区经信部门在10月20日前，将盖章的《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</w:rPr>
        <w:t>工业和信息化领域数据安全典型案例推荐汇总表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》（见附件一）纸质版及可编程电子版、申报主体的申报材料（含申报书纸质版一式四份和电子版光盘）报送到市经信局电子信息产业处，逾期不予受理。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五、联系方式</w:t>
      </w: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联系人：电子信息产业处 彭源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  <w:lang w:val="en-US" w:eastAsia="zh-CN"/>
        </w:rPr>
        <w:t>电  话：85316963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1918" w:leftChars="304" w:right="0" w:hanging="1280" w:hangingChars="400"/>
        <w:jc w:val="left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70707"/>
          <w:spacing w:val="0"/>
          <w:sz w:val="32"/>
          <w:szCs w:val="32"/>
        </w:rPr>
        <w:t>附件：1.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</w:rPr>
        <w:t>工业和信息化领域数据安全典型案例推荐汇总表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rightChars="0" w:firstLine="1600" w:firstLineChars="500"/>
        <w:jc w:val="left"/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2.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</w:rPr>
        <w:t>工业和信息化领域数据安全典型案例申报书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right="0" w:rightChars="0"/>
        <w:jc w:val="left"/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u w:val="none"/>
        </w:rPr>
      </w:pPr>
    </w:p>
    <w:p>
      <w:pPr>
        <w:ind w:firstLine="640"/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武汉市经济和信息化局</w:t>
      </w:r>
    </w:p>
    <w:p>
      <w:pPr>
        <w:ind w:firstLine="64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2023年10月8日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4NDNiNGQzMmU1ZGU2N2FjNTM2ZWVkMTQ4NGEwM2UifQ=="/>
  </w:docVars>
  <w:rsids>
    <w:rsidRoot w:val="1AE20CF2"/>
    <w:rsid w:val="07044413"/>
    <w:rsid w:val="0A874E86"/>
    <w:rsid w:val="11621A79"/>
    <w:rsid w:val="196A1E12"/>
    <w:rsid w:val="1AE20CF2"/>
    <w:rsid w:val="226D64CF"/>
    <w:rsid w:val="304A1B6D"/>
    <w:rsid w:val="31D63CDE"/>
    <w:rsid w:val="3494281A"/>
    <w:rsid w:val="35E62BFE"/>
    <w:rsid w:val="3A1C20D9"/>
    <w:rsid w:val="4085758A"/>
    <w:rsid w:val="50371D47"/>
    <w:rsid w:val="540C76AD"/>
    <w:rsid w:val="561936DA"/>
    <w:rsid w:val="59DA04D3"/>
    <w:rsid w:val="5E1B4A56"/>
    <w:rsid w:val="5E5C0D98"/>
    <w:rsid w:val="600F6347"/>
    <w:rsid w:val="6CF43042"/>
    <w:rsid w:val="761C0F14"/>
    <w:rsid w:val="789B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2023-09-28T08:24:00Z</dcterms:created>
  <dc:creator>彭源</dc:creator>
  <cp:lastModifiedBy>彭源</cp:lastModifiedBy>
  <dcterms:modified xsi:type="dcterms:W3CDTF">2023-10-08T01:35:14Z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C11FBAA9B08F435DA3B969CBE5E0C540_13</vt:lpwstr>
  </property>
</Properties>
</file>