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226" w:rsidRPr="00860226" w:rsidRDefault="00860226" w:rsidP="00860226">
      <w:pPr>
        <w:rPr>
          <w:rFonts w:ascii="黑体" w:eastAsia="黑体" w:hAnsi="黑体"/>
          <w:sz w:val="32"/>
          <w:szCs w:val="32"/>
        </w:rPr>
      </w:pPr>
      <w:r>
        <w:rPr>
          <w:rFonts w:ascii="黑体" w:eastAsia="黑体" w:hAnsi="黑体" w:hint="eastAsia"/>
          <w:sz w:val="32"/>
          <w:szCs w:val="32"/>
        </w:rPr>
        <w:t>附件1</w:t>
      </w:r>
    </w:p>
    <w:p w:rsidR="00860226" w:rsidRDefault="00860226" w:rsidP="00AA4AF9">
      <w:pPr>
        <w:jc w:val="center"/>
        <w:rPr>
          <w:rFonts w:ascii="黑体" w:eastAsia="黑体" w:hAnsi="黑体"/>
          <w:sz w:val="44"/>
          <w:szCs w:val="44"/>
        </w:rPr>
      </w:pPr>
    </w:p>
    <w:p w:rsidR="00AA4AF9" w:rsidRPr="00FF16C1" w:rsidRDefault="00AA4AF9" w:rsidP="00FF16C1">
      <w:pPr>
        <w:spacing w:line="560" w:lineRule="exact"/>
        <w:jc w:val="center"/>
        <w:rPr>
          <w:rFonts w:ascii="方正小标宋简体" w:eastAsia="方正小标宋简体" w:hAnsi="黑体" w:hint="eastAsia"/>
          <w:sz w:val="44"/>
          <w:szCs w:val="44"/>
        </w:rPr>
      </w:pPr>
      <w:r w:rsidRPr="00FF16C1">
        <w:rPr>
          <w:rFonts w:ascii="方正小标宋简体" w:eastAsia="方正小标宋简体" w:hAnsi="黑体" w:hint="eastAsia"/>
          <w:sz w:val="44"/>
          <w:szCs w:val="44"/>
        </w:rPr>
        <w:t>工业和信息化部办公厅关于组织开展</w:t>
      </w:r>
    </w:p>
    <w:p w:rsidR="00AA4AF9" w:rsidRPr="00FF16C1" w:rsidRDefault="00AA4AF9" w:rsidP="00FF16C1">
      <w:pPr>
        <w:spacing w:line="560" w:lineRule="exact"/>
        <w:jc w:val="center"/>
        <w:rPr>
          <w:rFonts w:ascii="方正小标宋简体" w:eastAsia="方正小标宋简体" w:hAnsi="黑体" w:hint="eastAsia"/>
          <w:sz w:val="44"/>
          <w:szCs w:val="44"/>
        </w:rPr>
      </w:pPr>
      <w:r w:rsidRPr="00FF16C1">
        <w:rPr>
          <w:rFonts w:ascii="方正小标宋简体" w:eastAsia="方正小标宋简体" w:hAnsi="黑体" w:hint="eastAsia"/>
          <w:sz w:val="44"/>
          <w:szCs w:val="44"/>
        </w:rPr>
        <w:t>2023年工业和信息化领域数据安全</w:t>
      </w:r>
    </w:p>
    <w:p w:rsidR="00AA4AF9" w:rsidRPr="00FF16C1" w:rsidRDefault="00AA4AF9" w:rsidP="00FF16C1">
      <w:pPr>
        <w:spacing w:line="560" w:lineRule="exact"/>
        <w:jc w:val="center"/>
        <w:rPr>
          <w:rFonts w:ascii="方正小标宋简体" w:eastAsia="方正小标宋简体" w:hAnsi="黑体" w:hint="eastAsia"/>
          <w:sz w:val="44"/>
          <w:szCs w:val="44"/>
        </w:rPr>
      </w:pPr>
      <w:r w:rsidRPr="00FF16C1">
        <w:rPr>
          <w:rFonts w:ascii="方正小标宋简体" w:eastAsia="方正小标宋简体" w:hAnsi="黑体" w:hint="eastAsia"/>
          <w:sz w:val="44"/>
          <w:szCs w:val="44"/>
        </w:rPr>
        <w:t>典型案例遴选工作的通知</w:t>
      </w:r>
    </w:p>
    <w:p w:rsidR="00AA4AF9" w:rsidRPr="00CB1EEB" w:rsidRDefault="00AA4AF9" w:rsidP="00AA4AF9">
      <w:pPr>
        <w:rPr>
          <w:rFonts w:ascii="仿宋_GB2312" w:eastAsia="仿宋_GB2312"/>
          <w:sz w:val="32"/>
          <w:szCs w:val="32"/>
        </w:rPr>
      </w:pPr>
    </w:p>
    <w:p w:rsidR="00AA4AF9" w:rsidRPr="00CB1EEB" w:rsidRDefault="00AA4AF9" w:rsidP="00AA4AF9">
      <w:pPr>
        <w:rPr>
          <w:rFonts w:ascii="仿宋_GB2312" w:eastAsia="仿宋_GB2312"/>
          <w:sz w:val="32"/>
          <w:szCs w:val="32"/>
        </w:rPr>
      </w:pPr>
      <w:r w:rsidRPr="00CB1EEB">
        <w:rPr>
          <w:rFonts w:ascii="仿宋_GB2312" w:eastAsia="仿宋_GB2312" w:hint="eastAsia"/>
          <w:sz w:val="32"/>
          <w:szCs w:val="32"/>
        </w:rPr>
        <w:t>各省、自治区、直辖市、计划单列市及新疆生产建设兵团工业和信息化主管部门，各省、自治区、直辖市通信管理局，有关中央企业，部内相关司局：</w:t>
      </w:r>
    </w:p>
    <w:p w:rsidR="00AA4AF9" w:rsidRPr="00CB1EEB" w:rsidRDefault="00AA4AF9" w:rsidP="00AA4AF9">
      <w:pPr>
        <w:ind w:firstLineChars="200" w:firstLine="640"/>
        <w:rPr>
          <w:rFonts w:ascii="仿宋_GB2312" w:eastAsia="仿宋_GB2312"/>
          <w:sz w:val="32"/>
          <w:szCs w:val="32"/>
        </w:rPr>
      </w:pPr>
      <w:r w:rsidRPr="00CB1EEB">
        <w:rPr>
          <w:rFonts w:ascii="仿宋_GB2312" w:eastAsia="仿宋_GB2312" w:hint="eastAsia"/>
          <w:sz w:val="32"/>
          <w:szCs w:val="32"/>
        </w:rPr>
        <w:t>为贯彻落实《中华人民共和国数据安全法》及《工业和信息化部等十六部门关于促进数据安全产业发展的指导意见》，充分发挥典型案例在数据安全产业发展中的示范引领作用，切实增强工业和信息化领域数据安全保障水平，现组织开展2023年工业和信息化领域数据安全典型案例遴选工作。有关事项通知如下：</w:t>
      </w:r>
    </w:p>
    <w:p w:rsidR="00AA4AF9" w:rsidRPr="00CB1EEB" w:rsidRDefault="00AA4AF9" w:rsidP="00AA4AF9">
      <w:pPr>
        <w:ind w:firstLineChars="200" w:firstLine="640"/>
        <w:rPr>
          <w:rFonts w:ascii="黑体" w:eastAsia="黑体" w:hAnsi="黑体"/>
          <w:sz w:val="32"/>
          <w:szCs w:val="32"/>
        </w:rPr>
      </w:pPr>
      <w:r w:rsidRPr="00CB1EEB">
        <w:rPr>
          <w:rFonts w:ascii="黑体" w:eastAsia="黑体" w:hAnsi="黑体" w:hint="eastAsia"/>
          <w:sz w:val="32"/>
          <w:szCs w:val="32"/>
        </w:rPr>
        <w:t>一、工作目标</w:t>
      </w:r>
    </w:p>
    <w:p w:rsidR="00AA4AF9" w:rsidRPr="00CB1EEB" w:rsidRDefault="00AA4AF9" w:rsidP="00AA4AF9">
      <w:pPr>
        <w:ind w:firstLineChars="200" w:firstLine="640"/>
        <w:rPr>
          <w:rFonts w:ascii="仿宋_GB2312" w:eastAsia="仿宋_GB2312"/>
          <w:sz w:val="32"/>
          <w:szCs w:val="32"/>
        </w:rPr>
      </w:pPr>
      <w:r w:rsidRPr="00CB1EEB">
        <w:rPr>
          <w:rFonts w:ascii="仿宋_GB2312" w:eastAsia="仿宋_GB2312" w:hint="eastAsia"/>
          <w:sz w:val="32"/>
          <w:szCs w:val="32"/>
        </w:rPr>
        <w:t>面向工业领域、电信和互联网领域组织开展数据安全典型案例遴选，按照技术先进、特点突出的原则，挖掘行业广泛认可、企业应用效果良好的案例，树立行业标杆、扩大产业影响，促进数据安全产品、应用和服务的示范推广，全面推动数据安全能力建设和创新发展。</w:t>
      </w:r>
    </w:p>
    <w:p w:rsidR="00AA4AF9" w:rsidRPr="00CB1EEB" w:rsidRDefault="00AA4AF9" w:rsidP="00DE5DDB">
      <w:pPr>
        <w:ind w:firstLineChars="200" w:firstLine="640"/>
        <w:rPr>
          <w:rFonts w:ascii="黑体" w:eastAsia="黑体" w:hAnsi="黑体"/>
          <w:sz w:val="32"/>
          <w:szCs w:val="32"/>
        </w:rPr>
      </w:pPr>
      <w:r w:rsidRPr="00CB1EEB">
        <w:rPr>
          <w:rFonts w:ascii="黑体" w:eastAsia="黑体" w:hAnsi="黑体" w:hint="eastAsia"/>
          <w:sz w:val="32"/>
          <w:szCs w:val="32"/>
        </w:rPr>
        <w:t>二、工作组织</w:t>
      </w:r>
    </w:p>
    <w:p w:rsidR="00AA4AF9" w:rsidRPr="00CB1EEB" w:rsidRDefault="00AA4AF9" w:rsidP="00DE5DDB">
      <w:pPr>
        <w:ind w:firstLineChars="200" w:firstLine="640"/>
        <w:rPr>
          <w:rFonts w:ascii="仿宋_GB2312" w:eastAsia="仿宋_GB2312"/>
          <w:sz w:val="32"/>
          <w:szCs w:val="32"/>
        </w:rPr>
      </w:pPr>
      <w:r w:rsidRPr="00CB1EEB">
        <w:rPr>
          <w:rFonts w:ascii="仿宋_GB2312" w:eastAsia="仿宋_GB2312" w:hint="eastAsia"/>
          <w:sz w:val="32"/>
          <w:szCs w:val="32"/>
        </w:rPr>
        <w:lastRenderedPageBreak/>
        <w:t>工业和信息化部统筹推进案例遴选工作，组织开展形式审查、专业初审和专家评审，并协调解决案例遴选过程中的重点难点问题。各省、自治区、直辖市、计划单列市及新疆生产建设兵团工业和信息化主管部门，各省、自治区、直辖市通信管理局，以及有关中央企业（以下统称推荐单位）负责本地区、本企业数据安全典型案例的推荐及上报等工作。</w:t>
      </w:r>
    </w:p>
    <w:p w:rsidR="00AA4AF9" w:rsidRPr="00CB1EEB" w:rsidRDefault="00AA4AF9" w:rsidP="00DE5DDB">
      <w:pPr>
        <w:ind w:firstLineChars="200" w:firstLine="640"/>
        <w:rPr>
          <w:rFonts w:ascii="黑体" w:eastAsia="黑体" w:hAnsi="黑体"/>
          <w:sz w:val="32"/>
          <w:szCs w:val="32"/>
        </w:rPr>
      </w:pPr>
      <w:r w:rsidRPr="00CB1EEB">
        <w:rPr>
          <w:rFonts w:ascii="黑体" w:eastAsia="黑体" w:hAnsi="黑体" w:hint="eastAsia"/>
          <w:sz w:val="32"/>
          <w:szCs w:val="32"/>
        </w:rPr>
        <w:t>三、申报要求</w:t>
      </w:r>
    </w:p>
    <w:p w:rsidR="00AA4AF9" w:rsidRPr="001C62B5" w:rsidRDefault="00AA4AF9" w:rsidP="001C62B5">
      <w:pPr>
        <w:ind w:firstLineChars="200" w:firstLine="640"/>
        <w:rPr>
          <w:rFonts w:ascii="楷体_GB2312" w:eastAsia="楷体_GB2312"/>
          <w:sz w:val="32"/>
          <w:szCs w:val="32"/>
        </w:rPr>
      </w:pPr>
      <w:r w:rsidRPr="001C62B5">
        <w:rPr>
          <w:rFonts w:ascii="楷体_GB2312" w:eastAsia="楷体_GB2312" w:hint="eastAsia"/>
          <w:sz w:val="32"/>
          <w:szCs w:val="32"/>
        </w:rPr>
        <w:t>（一）申报主体</w:t>
      </w:r>
    </w:p>
    <w:p w:rsidR="00AA4AF9" w:rsidRPr="00CB1EEB" w:rsidRDefault="00AA4AF9" w:rsidP="00DE5DDB">
      <w:pPr>
        <w:ind w:firstLineChars="200" w:firstLine="640"/>
        <w:rPr>
          <w:rFonts w:ascii="仿宋_GB2312" w:eastAsia="仿宋_GB2312"/>
          <w:sz w:val="32"/>
          <w:szCs w:val="32"/>
        </w:rPr>
      </w:pPr>
      <w:r w:rsidRPr="00CB1EEB">
        <w:rPr>
          <w:rFonts w:ascii="仿宋_GB2312" w:eastAsia="仿宋_GB2312" w:hint="eastAsia"/>
          <w:sz w:val="32"/>
          <w:szCs w:val="32"/>
        </w:rPr>
        <w:t>案例申报接受单独或联合申报，申报主体或联合申报牵头主体须为数据安全典型案例的实际应用方，包括从事电信、互联网、工业等生产运营单位。联合申报主体数量不得超过三家，可以包含专业从事数据安全工作的企业、高校和科研院所等。所有申报主体应具有独立法人资格，具备一定的数据安全实践经验和创新能力，在安全、信誉和社会责任等方面无不良记录。</w:t>
      </w:r>
    </w:p>
    <w:p w:rsidR="00AA4AF9" w:rsidRPr="001C62B5" w:rsidRDefault="00AA4AF9" w:rsidP="001C62B5">
      <w:pPr>
        <w:ind w:firstLineChars="200" w:firstLine="640"/>
        <w:rPr>
          <w:rFonts w:ascii="楷体_GB2312" w:eastAsia="楷体_GB2312"/>
          <w:sz w:val="32"/>
          <w:szCs w:val="32"/>
        </w:rPr>
      </w:pPr>
      <w:r w:rsidRPr="001C62B5">
        <w:rPr>
          <w:rFonts w:ascii="楷体_GB2312" w:eastAsia="楷体_GB2312" w:hint="eastAsia"/>
          <w:sz w:val="32"/>
          <w:szCs w:val="32"/>
        </w:rPr>
        <w:t>（二）申报方向</w:t>
      </w:r>
    </w:p>
    <w:p w:rsidR="00AA4AF9" w:rsidRPr="001C62B5"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坚持“以点带面、点面结合”原则，将案例划分为“工业</w:t>
      </w:r>
      <w:r w:rsidRPr="001C62B5">
        <w:rPr>
          <w:rFonts w:ascii="仿宋_GB2312" w:eastAsia="仿宋_GB2312" w:hint="eastAsia"/>
          <w:sz w:val="32"/>
          <w:szCs w:val="32"/>
        </w:rPr>
        <w:t>领域”“电信和互联网领域”进行征集，</w:t>
      </w:r>
      <w:proofErr w:type="gramStart"/>
      <w:r w:rsidRPr="001C62B5">
        <w:rPr>
          <w:rFonts w:ascii="仿宋_GB2312" w:eastAsia="仿宋_GB2312" w:hint="eastAsia"/>
          <w:sz w:val="32"/>
          <w:szCs w:val="32"/>
        </w:rPr>
        <w:t>每域遴选</w:t>
      </w:r>
      <w:proofErr w:type="gramEnd"/>
      <w:r w:rsidRPr="001C62B5">
        <w:rPr>
          <w:rFonts w:ascii="仿宋_GB2312" w:eastAsia="仿宋_GB2312" w:hint="eastAsia"/>
          <w:sz w:val="32"/>
          <w:szCs w:val="32"/>
        </w:rPr>
        <w:t>“四方向、十类型”数据安全典型案例。具体包括：</w:t>
      </w:r>
    </w:p>
    <w:p w:rsidR="00AA4AF9" w:rsidRPr="001C62B5" w:rsidRDefault="00AA4AF9" w:rsidP="001C62B5">
      <w:pPr>
        <w:ind w:firstLineChars="200" w:firstLine="640"/>
        <w:rPr>
          <w:rFonts w:ascii="仿宋_GB2312" w:eastAsia="仿宋_GB2312"/>
          <w:sz w:val="32"/>
          <w:szCs w:val="32"/>
        </w:rPr>
      </w:pPr>
      <w:r w:rsidRPr="001C62B5">
        <w:rPr>
          <w:rFonts w:ascii="仿宋_GB2312" w:eastAsia="仿宋_GB2312" w:hint="eastAsia"/>
          <w:sz w:val="32"/>
          <w:szCs w:val="32"/>
        </w:rPr>
        <w:t>1.数据安全基础共性方向</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——数据分类分级类案例：面向数据资产管理、重要数据识别需求，结合行业属性或特征，能够对数据进行智能化、精准化识别、归类和定级，并建立体系完备、动态更新的数据资</w:t>
      </w:r>
      <w:r w:rsidRPr="00CB1EEB">
        <w:rPr>
          <w:rFonts w:ascii="仿宋_GB2312" w:eastAsia="仿宋_GB2312" w:hint="eastAsia"/>
          <w:sz w:val="32"/>
          <w:szCs w:val="32"/>
        </w:rPr>
        <w:lastRenderedPageBreak/>
        <w:t>产清单的案例。</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——数据脱敏类案例：在数据全生命周期流转过程中，应用智能化、自动化数据脱敏手段，能够实现敏感数据的自动识别、脱敏，并保证脱敏数据覆盖全面、完整可用的案例。</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——数据加密类案例：在数据全生命周期流转过程中，利用校验技术、密码技术、安全传输通道或安全传输协议，能够有效解决数据监听、窃取、篡改等安全问题的案例。</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数据攻击检测类案例：采用攻击行为监测、异常流量监测、数据有效性校验、关键网络节点处检测等技术，应用数据防勒索、数据库防火墙等手段，建立攻击行为事前防御、事中监测和事后响应防护机制的案例。</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——数据防泄露类案例：面向网络数据防泄露、终端数据防泄露、存储数据防泄露和</w:t>
      </w:r>
      <w:proofErr w:type="gramStart"/>
      <w:r w:rsidRPr="00CB1EEB">
        <w:rPr>
          <w:rFonts w:ascii="仿宋_GB2312" w:eastAsia="仿宋_GB2312" w:hint="eastAsia"/>
          <w:sz w:val="32"/>
          <w:szCs w:val="32"/>
        </w:rPr>
        <w:t>云数据防</w:t>
      </w:r>
      <w:proofErr w:type="gramEnd"/>
      <w:r w:rsidRPr="00CB1EEB">
        <w:rPr>
          <w:rFonts w:ascii="仿宋_GB2312" w:eastAsia="仿宋_GB2312" w:hint="eastAsia"/>
          <w:sz w:val="32"/>
          <w:szCs w:val="32"/>
        </w:rPr>
        <w:t>泄露等场景，运用监测数据采集、异常行为数据处理、异常行为分析告警等技术，建立规则和模型引擎，实现安全告警与实时响应的案例。</w:t>
      </w:r>
    </w:p>
    <w:p w:rsidR="00AA4AF9" w:rsidRPr="001C62B5" w:rsidRDefault="00AA4AF9" w:rsidP="001C62B5">
      <w:pPr>
        <w:ind w:firstLineChars="200" w:firstLine="640"/>
        <w:rPr>
          <w:rFonts w:ascii="仿宋_GB2312" w:eastAsia="仿宋_GB2312"/>
          <w:sz w:val="32"/>
          <w:szCs w:val="32"/>
        </w:rPr>
      </w:pPr>
      <w:r w:rsidRPr="001C62B5">
        <w:rPr>
          <w:rFonts w:ascii="仿宋_GB2312" w:eastAsia="仿宋_GB2312" w:hint="eastAsia"/>
          <w:sz w:val="32"/>
          <w:szCs w:val="32"/>
        </w:rPr>
        <w:t>2.数据安全监测分析方向</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——数据安全监测感知类案例：面向数据流量异常、数据访问操作异常、数据接口调用异常等安全风险，采用风险识别与事件监测相结合的综合</w:t>
      </w:r>
      <w:proofErr w:type="gramStart"/>
      <w:r w:rsidRPr="00CB1EEB">
        <w:rPr>
          <w:rFonts w:ascii="仿宋_GB2312" w:eastAsia="仿宋_GB2312" w:hint="eastAsia"/>
          <w:sz w:val="32"/>
          <w:szCs w:val="32"/>
        </w:rPr>
        <w:t>研</w:t>
      </w:r>
      <w:proofErr w:type="gramEnd"/>
      <w:r w:rsidRPr="00CB1EEB">
        <w:rPr>
          <w:rFonts w:ascii="仿宋_GB2312" w:eastAsia="仿宋_GB2312" w:hint="eastAsia"/>
          <w:sz w:val="32"/>
          <w:szCs w:val="32"/>
        </w:rPr>
        <w:t>判技术，探测发现威胁企业的数据安全事件，并提供完整追溯取证证据链，实现协同联动的数据安全态势感知、风险监测预警和应急处置的案例。</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——数据溯源类案例：面向数据提供、公开、出境等重点</w:t>
      </w:r>
      <w:r w:rsidRPr="00CB1EEB">
        <w:rPr>
          <w:rFonts w:ascii="仿宋_GB2312" w:eastAsia="仿宋_GB2312" w:hint="eastAsia"/>
          <w:sz w:val="32"/>
          <w:szCs w:val="32"/>
        </w:rPr>
        <w:lastRenderedPageBreak/>
        <w:t>环节，利用数据标识、水印等溯源技术，保障数据流通共享过程中的完整性、可追溯性，实现安全事件发生后泄露源头追查和责任判定的案例。</w:t>
      </w:r>
    </w:p>
    <w:p w:rsidR="00AA4AF9" w:rsidRPr="001C62B5" w:rsidRDefault="00AA4AF9" w:rsidP="001C62B5">
      <w:pPr>
        <w:ind w:firstLineChars="200" w:firstLine="640"/>
        <w:rPr>
          <w:rFonts w:ascii="仿宋_GB2312" w:eastAsia="仿宋_GB2312"/>
          <w:sz w:val="32"/>
          <w:szCs w:val="32"/>
        </w:rPr>
      </w:pPr>
      <w:r w:rsidRPr="001C62B5">
        <w:rPr>
          <w:rFonts w:ascii="仿宋_GB2312" w:eastAsia="仿宋_GB2312" w:hint="eastAsia"/>
          <w:sz w:val="32"/>
          <w:szCs w:val="32"/>
        </w:rPr>
        <w:t>3.数据安全体系整体设计实施方向</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整体设计实施类案例：围绕组织架构、管理制度、技术措施，从数据资产管理、数据权限管理、数据风险识别和监测、数据安全事件处置、数据安全运维等方面建立一体化数据安全能力，实现数据安全防护整体协同、效率提升、成本可控的案例。</w:t>
      </w:r>
    </w:p>
    <w:p w:rsidR="00AA4AF9" w:rsidRPr="001C62B5" w:rsidRDefault="00AA4AF9" w:rsidP="001C62B5">
      <w:pPr>
        <w:ind w:firstLineChars="200" w:firstLine="640"/>
        <w:rPr>
          <w:rFonts w:ascii="仿宋_GB2312" w:eastAsia="仿宋_GB2312"/>
          <w:sz w:val="32"/>
          <w:szCs w:val="32"/>
        </w:rPr>
      </w:pPr>
      <w:r w:rsidRPr="001C62B5">
        <w:rPr>
          <w:rFonts w:ascii="仿宋_GB2312" w:eastAsia="仿宋_GB2312" w:hint="eastAsia"/>
          <w:sz w:val="32"/>
          <w:szCs w:val="32"/>
        </w:rPr>
        <w:t>4.其他方向</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电信和互联网领域隐私计算类案例：利用安全多方计算、联邦学习、可信执行环境等技术，在保证隐私数据安全的前提下，能够联合多个参与方利用数据进行计算分析，促进数据有序流通和共享，释放数据价值的案例。</w:t>
      </w:r>
    </w:p>
    <w:p w:rsidR="00AA4AF9" w:rsidRPr="00CB1EEB" w:rsidRDefault="00AA4AF9" w:rsidP="001C62B5">
      <w:pPr>
        <w:ind w:firstLineChars="200" w:firstLine="640"/>
        <w:rPr>
          <w:rFonts w:ascii="仿宋_GB2312" w:eastAsia="仿宋_GB2312"/>
          <w:sz w:val="32"/>
          <w:szCs w:val="32"/>
        </w:rPr>
      </w:pPr>
      <w:r w:rsidRPr="001C62B5">
        <w:rPr>
          <w:rFonts w:ascii="仿宋_GB2312" w:eastAsia="仿宋_GB2312" w:hint="eastAsia"/>
          <w:sz w:val="32"/>
          <w:szCs w:val="32"/>
        </w:rPr>
        <w:t>——汽车数据安全保护类案例：</w:t>
      </w:r>
      <w:r w:rsidRPr="00CB1EEB">
        <w:rPr>
          <w:rFonts w:ascii="仿宋_GB2312" w:eastAsia="仿宋_GB2312" w:hint="eastAsia"/>
          <w:sz w:val="32"/>
          <w:szCs w:val="32"/>
        </w:rPr>
        <w:t>针对车外人</w:t>
      </w:r>
      <w:proofErr w:type="gramStart"/>
      <w:r w:rsidRPr="00CB1EEB">
        <w:rPr>
          <w:rFonts w:ascii="仿宋_GB2312" w:eastAsia="仿宋_GB2312" w:hint="eastAsia"/>
          <w:sz w:val="32"/>
          <w:szCs w:val="32"/>
        </w:rPr>
        <w:t>脸信息</w:t>
      </w:r>
      <w:proofErr w:type="gramEnd"/>
      <w:r w:rsidRPr="00CB1EEB">
        <w:rPr>
          <w:rFonts w:ascii="仿宋_GB2312" w:eastAsia="仿宋_GB2312" w:hint="eastAsia"/>
          <w:sz w:val="32"/>
          <w:szCs w:val="32"/>
        </w:rPr>
        <w:t>匿名化处理、座舱数据车内处理和处理个人信息显著告知等三项保护要求，形成技术、产品、服务一体化解决方案，提升汽车数据安全管理能力的案例。</w:t>
      </w:r>
    </w:p>
    <w:p w:rsidR="00AA4AF9" w:rsidRPr="00CB1EEB" w:rsidRDefault="00AA4AF9" w:rsidP="00B450B3">
      <w:pPr>
        <w:ind w:firstLineChars="200" w:firstLine="640"/>
        <w:rPr>
          <w:rFonts w:ascii="楷体_GB2312" w:eastAsia="楷体_GB2312"/>
          <w:sz w:val="32"/>
          <w:szCs w:val="32"/>
        </w:rPr>
      </w:pPr>
      <w:r w:rsidRPr="00CB1EEB">
        <w:rPr>
          <w:rFonts w:ascii="楷体_GB2312" w:eastAsia="楷体_GB2312" w:hint="eastAsia"/>
          <w:sz w:val="32"/>
          <w:szCs w:val="32"/>
        </w:rPr>
        <w:t>（三）申报条件</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申报案例须为已验收投入使用、具备成熟体系架构和稳定运行效果的数据安全技术、产品和服务解决方案。同一申报主体申报领域和方向不限，最多申报三个案例，每个类型限制申</w:t>
      </w:r>
      <w:r w:rsidRPr="00CB1EEB">
        <w:rPr>
          <w:rFonts w:ascii="仿宋_GB2312" w:eastAsia="仿宋_GB2312" w:hint="eastAsia"/>
          <w:sz w:val="32"/>
          <w:szCs w:val="32"/>
        </w:rPr>
        <w:lastRenderedPageBreak/>
        <w:t>报一个案例，同一案例不能重复申报。对于已列入工业和信息化部相关案例的，不可重复申报。</w:t>
      </w:r>
    </w:p>
    <w:p w:rsidR="00AA4AF9" w:rsidRPr="00CB1EEB" w:rsidRDefault="00AA4AF9" w:rsidP="00B450B3">
      <w:pPr>
        <w:ind w:firstLineChars="200" w:firstLine="640"/>
        <w:rPr>
          <w:rFonts w:ascii="黑体" w:eastAsia="黑体" w:hAnsi="黑体"/>
          <w:sz w:val="32"/>
          <w:szCs w:val="32"/>
        </w:rPr>
      </w:pPr>
      <w:r w:rsidRPr="00CB1EEB">
        <w:rPr>
          <w:rFonts w:ascii="黑体" w:eastAsia="黑体" w:hAnsi="黑体" w:hint="eastAsia"/>
          <w:sz w:val="32"/>
          <w:szCs w:val="32"/>
        </w:rPr>
        <w:t>四、推荐要求</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各省、自治区、直辖市、计划单列市及新疆生产建设兵团工业和信息化主管部门负责所属地区工业领域数据安全典型案例推荐工作，数量原则上不超过10个。工业领域推荐案例在体现所属地区行业特色发展优势的基础上，应尽量涵盖钢铁、有色、石化化工、汽车、民用飞机、民用船舶、纺织、电子信息制造、软件和信息技术服务等重点行业。</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各省、自治区、直辖市通信管理局负责所属地区电信和互联网领域数据安全典型案例推荐工作，数量原则上不超过5个。有关中央企业负责本集团数据安全典型案例推荐工作，数量原则上不超过5个。</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推荐案例需按优先级顺序进行排列。</w:t>
      </w:r>
    </w:p>
    <w:p w:rsidR="00AA4AF9" w:rsidRPr="00CB1EEB" w:rsidRDefault="00AA4AF9" w:rsidP="00B450B3">
      <w:pPr>
        <w:ind w:firstLineChars="200" w:firstLine="640"/>
        <w:rPr>
          <w:rFonts w:ascii="黑体" w:eastAsia="黑体" w:hAnsi="黑体"/>
          <w:sz w:val="32"/>
          <w:szCs w:val="32"/>
        </w:rPr>
      </w:pPr>
      <w:r w:rsidRPr="00CB1EEB">
        <w:rPr>
          <w:rFonts w:ascii="黑体" w:eastAsia="黑体" w:hAnsi="黑体" w:hint="eastAsia"/>
          <w:sz w:val="32"/>
          <w:szCs w:val="32"/>
        </w:rPr>
        <w:t>五、工作安排</w:t>
      </w:r>
    </w:p>
    <w:p w:rsidR="00AA4AF9" w:rsidRPr="00CB1EEB" w:rsidRDefault="00AA4AF9" w:rsidP="00B450B3">
      <w:pPr>
        <w:ind w:firstLineChars="200" w:firstLine="640"/>
        <w:rPr>
          <w:rFonts w:ascii="楷体_GB2312" w:eastAsia="楷体_GB2312"/>
          <w:sz w:val="32"/>
          <w:szCs w:val="32"/>
        </w:rPr>
      </w:pPr>
      <w:r w:rsidRPr="00CB1EEB">
        <w:rPr>
          <w:rFonts w:ascii="楷体_GB2312" w:eastAsia="楷体_GB2312" w:hint="eastAsia"/>
          <w:sz w:val="32"/>
          <w:szCs w:val="32"/>
        </w:rPr>
        <w:t>（一）征集推荐</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推荐单位组织本地区、本企业的数据安全典型案例申报活动，审核把关申报材料并签署推荐意见，重点关注申报主体及范围是否符合要求，申报材料是否完整、真实、全面，申报流程是否规范等，于2023年10月31日前将推荐汇总表、案例申报书和电子版光盘等材料（一式三份，模板见附件）报送</w:t>
      </w:r>
      <w:proofErr w:type="gramStart"/>
      <w:r w:rsidRPr="00CB1EEB">
        <w:rPr>
          <w:rFonts w:ascii="仿宋_GB2312" w:eastAsia="仿宋_GB2312" w:hint="eastAsia"/>
          <w:sz w:val="32"/>
          <w:szCs w:val="32"/>
        </w:rPr>
        <w:t>至工业</w:t>
      </w:r>
      <w:proofErr w:type="gramEnd"/>
      <w:r w:rsidRPr="00CB1EEB">
        <w:rPr>
          <w:rFonts w:ascii="仿宋_GB2312" w:eastAsia="仿宋_GB2312" w:hint="eastAsia"/>
          <w:sz w:val="32"/>
          <w:szCs w:val="32"/>
        </w:rPr>
        <w:t>和信息化部（网络安全管理局）。</w:t>
      </w:r>
    </w:p>
    <w:p w:rsidR="00AA4AF9" w:rsidRPr="00CB1EEB" w:rsidRDefault="00AA4AF9" w:rsidP="00B450B3">
      <w:pPr>
        <w:ind w:firstLineChars="200" w:firstLine="640"/>
        <w:rPr>
          <w:rFonts w:ascii="楷体_GB2312" w:eastAsia="楷体_GB2312"/>
          <w:sz w:val="32"/>
          <w:szCs w:val="32"/>
        </w:rPr>
      </w:pPr>
      <w:r w:rsidRPr="00CB1EEB">
        <w:rPr>
          <w:rFonts w:ascii="楷体_GB2312" w:eastAsia="楷体_GB2312" w:hint="eastAsia"/>
          <w:sz w:val="32"/>
          <w:szCs w:val="32"/>
        </w:rPr>
        <w:lastRenderedPageBreak/>
        <w:t>（二）形式审查</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工业和信息化部成立案例遴选工作组，统筹开展典型案例形式审查工作，核验推荐材料的完备性、规范性等。</w:t>
      </w:r>
    </w:p>
    <w:p w:rsidR="00AA4AF9" w:rsidRPr="00CB1EEB" w:rsidRDefault="00AA4AF9" w:rsidP="00B450B3">
      <w:pPr>
        <w:ind w:firstLineChars="200" w:firstLine="640"/>
        <w:rPr>
          <w:rFonts w:ascii="楷体_GB2312" w:eastAsia="楷体_GB2312"/>
          <w:sz w:val="32"/>
          <w:szCs w:val="32"/>
        </w:rPr>
      </w:pPr>
      <w:r w:rsidRPr="00CB1EEB">
        <w:rPr>
          <w:rFonts w:ascii="楷体_GB2312" w:eastAsia="楷体_GB2312" w:hint="eastAsia"/>
          <w:sz w:val="32"/>
          <w:szCs w:val="32"/>
        </w:rPr>
        <w:t>（三）专业初审</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案例遴选工作组结合技术领域、应用场景、应用效果，对通过形式审查案例的行业典型性、代表性及申报单位生产经营状况等进行初步评审。</w:t>
      </w:r>
    </w:p>
    <w:p w:rsidR="00AA4AF9" w:rsidRPr="00CB1EEB" w:rsidRDefault="00AA4AF9" w:rsidP="00B450B3">
      <w:pPr>
        <w:ind w:firstLineChars="200" w:firstLine="640"/>
        <w:rPr>
          <w:rFonts w:ascii="楷体_GB2312" w:eastAsia="楷体_GB2312"/>
          <w:sz w:val="32"/>
          <w:szCs w:val="32"/>
        </w:rPr>
      </w:pPr>
      <w:r w:rsidRPr="00CB1EEB">
        <w:rPr>
          <w:rFonts w:ascii="楷体_GB2312" w:eastAsia="楷体_GB2312" w:hint="eastAsia"/>
          <w:sz w:val="32"/>
          <w:szCs w:val="32"/>
        </w:rPr>
        <w:t>（四）专家评审</w:t>
      </w:r>
    </w:p>
    <w:p w:rsidR="00AA4AF9" w:rsidRPr="00CB1EEB" w:rsidRDefault="00AA4AF9" w:rsidP="00B450B3">
      <w:pPr>
        <w:ind w:firstLineChars="200" w:firstLine="640"/>
        <w:rPr>
          <w:rFonts w:ascii="仿宋_GB2312" w:eastAsia="仿宋_GB2312"/>
          <w:sz w:val="32"/>
          <w:szCs w:val="32"/>
        </w:rPr>
      </w:pPr>
      <w:r w:rsidRPr="00CB1EEB">
        <w:rPr>
          <w:rFonts w:ascii="仿宋_GB2312" w:eastAsia="仿宋_GB2312" w:hint="eastAsia"/>
          <w:sz w:val="32"/>
          <w:szCs w:val="32"/>
        </w:rPr>
        <w:t>案例遴选工作组组织专家对通过形式审查和专业初审的典型案例进行评审，形成2023年工业和信息化领域数据安全典型案例名单。</w:t>
      </w:r>
    </w:p>
    <w:p w:rsidR="00AA4AF9" w:rsidRPr="00CB1EEB" w:rsidRDefault="00AA4AF9" w:rsidP="00B450B3">
      <w:pPr>
        <w:ind w:firstLineChars="200" w:firstLine="640"/>
        <w:rPr>
          <w:rFonts w:ascii="黑体" w:eastAsia="黑体" w:hAnsi="黑体"/>
          <w:sz w:val="32"/>
          <w:szCs w:val="32"/>
        </w:rPr>
      </w:pPr>
      <w:r w:rsidRPr="00CB1EEB">
        <w:rPr>
          <w:rFonts w:ascii="黑体" w:eastAsia="黑体" w:hAnsi="黑体" w:hint="eastAsia"/>
          <w:sz w:val="32"/>
          <w:szCs w:val="32"/>
        </w:rPr>
        <w:t>六、联系方式</w:t>
      </w:r>
    </w:p>
    <w:p w:rsidR="00AA4AF9" w:rsidRPr="00CB1EEB" w:rsidRDefault="00AA4AF9" w:rsidP="00CE572E">
      <w:pPr>
        <w:ind w:firstLineChars="200" w:firstLine="640"/>
        <w:rPr>
          <w:rFonts w:ascii="仿宋_GB2312" w:eastAsia="仿宋_GB2312"/>
          <w:sz w:val="32"/>
          <w:szCs w:val="32"/>
        </w:rPr>
      </w:pPr>
      <w:r w:rsidRPr="00CB1EEB">
        <w:rPr>
          <w:rFonts w:ascii="仿宋_GB2312" w:eastAsia="仿宋_GB2312" w:hint="eastAsia"/>
          <w:sz w:val="32"/>
          <w:szCs w:val="32"/>
        </w:rPr>
        <w:t>联系人及电话：张洪  010-68206195</w:t>
      </w:r>
    </w:p>
    <w:p w:rsidR="00AA4AF9" w:rsidRPr="00CB1EEB" w:rsidRDefault="00AA4AF9" w:rsidP="00CE572E">
      <w:pPr>
        <w:ind w:firstLineChars="200" w:firstLine="640"/>
        <w:rPr>
          <w:rFonts w:ascii="仿宋_GB2312" w:eastAsia="仿宋_GB2312"/>
          <w:sz w:val="32"/>
          <w:szCs w:val="32"/>
        </w:rPr>
      </w:pPr>
      <w:r w:rsidRPr="00CB1EEB">
        <w:rPr>
          <w:rFonts w:ascii="仿宋_GB2312" w:eastAsia="仿宋_GB2312" w:hint="eastAsia"/>
          <w:sz w:val="32"/>
          <w:szCs w:val="32"/>
        </w:rPr>
        <w:t>材料寄送地址：北京市西城区西长安街13号 工业和信息化</w:t>
      </w:r>
      <w:proofErr w:type="gramStart"/>
      <w:r w:rsidRPr="00CB1EEB">
        <w:rPr>
          <w:rFonts w:ascii="仿宋_GB2312" w:eastAsia="仿宋_GB2312" w:hint="eastAsia"/>
          <w:sz w:val="32"/>
          <w:szCs w:val="32"/>
        </w:rPr>
        <w:t>部网络</w:t>
      </w:r>
      <w:proofErr w:type="gramEnd"/>
      <w:r w:rsidRPr="00CB1EEB">
        <w:rPr>
          <w:rFonts w:ascii="仿宋_GB2312" w:eastAsia="仿宋_GB2312" w:hint="eastAsia"/>
          <w:sz w:val="32"/>
          <w:szCs w:val="32"/>
        </w:rPr>
        <w:t>安全管理局（邮编：100804  收件人：周睿康  010-68206195）</w:t>
      </w:r>
    </w:p>
    <w:p w:rsidR="00860226" w:rsidRDefault="00860226" w:rsidP="00CE572E">
      <w:pPr>
        <w:ind w:leftChars="304" w:left="2078" w:hangingChars="450" w:hanging="1440"/>
        <w:rPr>
          <w:rFonts w:ascii="仿宋_GB2312" w:eastAsia="仿宋_GB2312"/>
          <w:sz w:val="32"/>
          <w:szCs w:val="32"/>
        </w:rPr>
      </w:pPr>
    </w:p>
    <w:p w:rsidR="00CE572E" w:rsidRPr="00CB1EEB" w:rsidRDefault="00AA4AF9" w:rsidP="00CE572E">
      <w:pPr>
        <w:ind w:leftChars="304" w:left="2078" w:hangingChars="450" w:hanging="1440"/>
        <w:rPr>
          <w:rFonts w:ascii="仿宋_GB2312" w:eastAsia="仿宋_GB2312"/>
          <w:sz w:val="32"/>
          <w:szCs w:val="32"/>
        </w:rPr>
      </w:pPr>
      <w:r w:rsidRPr="00CB1EEB">
        <w:rPr>
          <w:rFonts w:ascii="仿宋_GB2312" w:eastAsia="仿宋_GB2312" w:hint="eastAsia"/>
          <w:sz w:val="32"/>
          <w:szCs w:val="32"/>
        </w:rPr>
        <w:t>附件：1.工业和信息化领域数据安全典型案例推荐汇总表</w:t>
      </w:r>
    </w:p>
    <w:p w:rsidR="00CE572E" w:rsidRPr="00CB1EEB" w:rsidRDefault="00AA4AF9" w:rsidP="00CE572E">
      <w:pPr>
        <w:ind w:firstLineChars="500" w:firstLine="1600"/>
        <w:rPr>
          <w:rFonts w:ascii="仿宋_GB2312" w:eastAsia="仿宋_GB2312"/>
          <w:sz w:val="32"/>
          <w:szCs w:val="32"/>
        </w:rPr>
      </w:pPr>
      <w:r w:rsidRPr="00CB1EEB">
        <w:rPr>
          <w:rFonts w:ascii="仿宋_GB2312" w:eastAsia="仿宋_GB2312" w:hint="eastAsia"/>
          <w:sz w:val="32"/>
          <w:szCs w:val="32"/>
        </w:rPr>
        <w:t xml:space="preserve">2.工业和信息化领域数据安全典型案例申报书                                                                                                                                                                                                                                                                                                                                 </w:t>
      </w:r>
    </w:p>
    <w:p w:rsidR="001C62B5" w:rsidRDefault="001C62B5" w:rsidP="00CE572E">
      <w:pPr>
        <w:ind w:firstLineChars="1500" w:firstLine="4800"/>
        <w:rPr>
          <w:rFonts w:ascii="仿宋_GB2312" w:eastAsia="仿宋_GB2312"/>
          <w:sz w:val="32"/>
          <w:szCs w:val="32"/>
        </w:rPr>
      </w:pPr>
    </w:p>
    <w:p w:rsidR="00CE572E" w:rsidRPr="00CB1EEB" w:rsidRDefault="00CE572E" w:rsidP="00CE572E">
      <w:pPr>
        <w:ind w:firstLineChars="1500" w:firstLine="4800"/>
        <w:rPr>
          <w:rFonts w:ascii="仿宋_GB2312" w:eastAsia="仿宋_GB2312"/>
          <w:sz w:val="32"/>
          <w:szCs w:val="32"/>
        </w:rPr>
      </w:pPr>
      <w:bookmarkStart w:id="0" w:name="_GoBack"/>
      <w:bookmarkEnd w:id="0"/>
      <w:r w:rsidRPr="00CB1EEB">
        <w:rPr>
          <w:rFonts w:ascii="仿宋_GB2312" w:eastAsia="仿宋_GB2312" w:hint="eastAsia"/>
          <w:sz w:val="32"/>
          <w:szCs w:val="32"/>
        </w:rPr>
        <w:t>工业和信息化部办公厅</w:t>
      </w:r>
    </w:p>
    <w:p w:rsidR="00AA4AF9" w:rsidRPr="00CB1EEB" w:rsidRDefault="00AA4AF9" w:rsidP="00CE572E">
      <w:pPr>
        <w:ind w:firstLineChars="1650" w:firstLine="5280"/>
        <w:rPr>
          <w:rFonts w:ascii="仿宋_GB2312" w:eastAsia="仿宋_GB2312"/>
          <w:sz w:val="32"/>
          <w:szCs w:val="32"/>
        </w:rPr>
      </w:pPr>
      <w:r w:rsidRPr="00CB1EEB">
        <w:rPr>
          <w:rFonts w:ascii="仿宋_GB2312" w:eastAsia="仿宋_GB2312" w:hint="eastAsia"/>
          <w:sz w:val="32"/>
          <w:szCs w:val="32"/>
        </w:rPr>
        <w:t>2023年9月27日</w:t>
      </w:r>
    </w:p>
    <w:sectPr w:rsidR="00AA4AF9" w:rsidRPr="00CB1EEB" w:rsidSect="00AA4AF9">
      <w:footerReference w:type="default" r:id="rId7"/>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982" w:rsidRDefault="00551982" w:rsidP="00BC4739">
      <w:r>
        <w:separator/>
      </w:r>
    </w:p>
  </w:endnote>
  <w:endnote w:type="continuationSeparator" w:id="0">
    <w:p w:rsidR="00551982" w:rsidRDefault="00551982" w:rsidP="00BC4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8970409"/>
      <w:docPartObj>
        <w:docPartGallery w:val="Page Numbers (Bottom of Page)"/>
        <w:docPartUnique/>
      </w:docPartObj>
    </w:sdtPr>
    <w:sdtEndPr/>
    <w:sdtContent>
      <w:p w:rsidR="00BC4739" w:rsidRDefault="00BC4739" w:rsidP="00BC4739">
        <w:pPr>
          <w:pStyle w:val="a5"/>
          <w:jc w:val="right"/>
        </w:pPr>
        <w:r w:rsidRPr="00BC4739">
          <w:rPr>
            <w:rFonts w:ascii="Times New Roman" w:hAnsi="Times New Roman" w:cs="Times New Roman"/>
            <w:sz w:val="28"/>
            <w:szCs w:val="28"/>
          </w:rPr>
          <w:t>—</w:t>
        </w:r>
        <w:r w:rsidRPr="00BC4739">
          <w:rPr>
            <w:rFonts w:ascii="Times New Roman" w:hAnsi="Times New Roman" w:cs="Times New Roman"/>
            <w:sz w:val="28"/>
            <w:szCs w:val="28"/>
          </w:rPr>
          <w:fldChar w:fldCharType="begin"/>
        </w:r>
        <w:r w:rsidRPr="00BC4739">
          <w:rPr>
            <w:rFonts w:ascii="Times New Roman" w:hAnsi="Times New Roman" w:cs="Times New Roman"/>
            <w:sz w:val="28"/>
            <w:szCs w:val="28"/>
          </w:rPr>
          <w:instrText>PAGE   \* MERGEFORMAT</w:instrText>
        </w:r>
        <w:r w:rsidRPr="00BC4739">
          <w:rPr>
            <w:rFonts w:ascii="Times New Roman" w:hAnsi="Times New Roman" w:cs="Times New Roman"/>
            <w:sz w:val="28"/>
            <w:szCs w:val="28"/>
          </w:rPr>
          <w:fldChar w:fldCharType="separate"/>
        </w:r>
        <w:r w:rsidR="00FF16C1" w:rsidRPr="00FF16C1">
          <w:rPr>
            <w:rFonts w:ascii="Times New Roman" w:hAnsi="Times New Roman" w:cs="Times New Roman"/>
            <w:noProof/>
            <w:sz w:val="28"/>
            <w:szCs w:val="28"/>
            <w:lang w:val="zh-CN"/>
          </w:rPr>
          <w:t>6</w:t>
        </w:r>
        <w:r w:rsidRPr="00BC4739">
          <w:rPr>
            <w:rFonts w:ascii="Times New Roman" w:hAnsi="Times New Roman" w:cs="Times New Roman"/>
            <w:sz w:val="28"/>
            <w:szCs w:val="28"/>
          </w:rPr>
          <w:fldChar w:fldCharType="end"/>
        </w:r>
        <w:r w:rsidRPr="00BC4739">
          <w:rPr>
            <w:rFonts w:ascii="Times New Roman" w:hAnsi="Times New Roman" w:cs="Times New Roman"/>
            <w:sz w:val="28"/>
            <w:szCs w:val="28"/>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982" w:rsidRDefault="00551982" w:rsidP="00BC4739">
      <w:r>
        <w:separator/>
      </w:r>
    </w:p>
  </w:footnote>
  <w:footnote w:type="continuationSeparator" w:id="0">
    <w:p w:rsidR="00551982" w:rsidRDefault="00551982" w:rsidP="00BC47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AF9"/>
    <w:rsid w:val="001C62B5"/>
    <w:rsid w:val="001C74BA"/>
    <w:rsid w:val="002C13E1"/>
    <w:rsid w:val="002C7424"/>
    <w:rsid w:val="00551982"/>
    <w:rsid w:val="005D39F3"/>
    <w:rsid w:val="00610F34"/>
    <w:rsid w:val="006271B3"/>
    <w:rsid w:val="00860226"/>
    <w:rsid w:val="00AA4AF9"/>
    <w:rsid w:val="00B31FDB"/>
    <w:rsid w:val="00B450B3"/>
    <w:rsid w:val="00B5480A"/>
    <w:rsid w:val="00BC4739"/>
    <w:rsid w:val="00CA750C"/>
    <w:rsid w:val="00CB1EEB"/>
    <w:rsid w:val="00CE572E"/>
    <w:rsid w:val="00DE5DDB"/>
    <w:rsid w:val="00E228B5"/>
    <w:rsid w:val="00E62E67"/>
    <w:rsid w:val="00FF1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xgk-span1">
    <w:name w:val="xxgk-span1"/>
    <w:basedOn w:val="a0"/>
    <w:rsid w:val="00AA4AF9"/>
  </w:style>
  <w:style w:type="character" w:customStyle="1" w:styleId="xxgk-span4">
    <w:name w:val="xxgk-span4"/>
    <w:basedOn w:val="a0"/>
    <w:rsid w:val="00AA4AF9"/>
  </w:style>
  <w:style w:type="paragraph" w:styleId="a3">
    <w:name w:val="List Paragraph"/>
    <w:basedOn w:val="a"/>
    <w:uiPriority w:val="34"/>
    <w:qFormat/>
    <w:rsid w:val="00AA4AF9"/>
    <w:pPr>
      <w:ind w:firstLineChars="200" w:firstLine="420"/>
    </w:pPr>
  </w:style>
  <w:style w:type="paragraph" w:styleId="a4">
    <w:name w:val="header"/>
    <w:basedOn w:val="a"/>
    <w:link w:val="Char"/>
    <w:uiPriority w:val="99"/>
    <w:unhideWhenUsed/>
    <w:rsid w:val="00BC47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C4739"/>
    <w:rPr>
      <w:sz w:val="18"/>
      <w:szCs w:val="18"/>
    </w:rPr>
  </w:style>
  <w:style w:type="paragraph" w:styleId="a5">
    <w:name w:val="footer"/>
    <w:basedOn w:val="a"/>
    <w:link w:val="Char0"/>
    <w:uiPriority w:val="99"/>
    <w:unhideWhenUsed/>
    <w:rsid w:val="00BC4739"/>
    <w:pPr>
      <w:tabs>
        <w:tab w:val="center" w:pos="4153"/>
        <w:tab w:val="right" w:pos="8306"/>
      </w:tabs>
      <w:snapToGrid w:val="0"/>
      <w:jc w:val="left"/>
    </w:pPr>
    <w:rPr>
      <w:sz w:val="18"/>
      <w:szCs w:val="18"/>
    </w:rPr>
  </w:style>
  <w:style w:type="character" w:customStyle="1" w:styleId="Char0">
    <w:name w:val="页脚 Char"/>
    <w:basedOn w:val="a0"/>
    <w:link w:val="a5"/>
    <w:uiPriority w:val="99"/>
    <w:rsid w:val="00BC473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xxgk-span1">
    <w:name w:val="xxgk-span1"/>
    <w:basedOn w:val="a0"/>
    <w:rsid w:val="00AA4AF9"/>
  </w:style>
  <w:style w:type="character" w:customStyle="1" w:styleId="xxgk-span4">
    <w:name w:val="xxgk-span4"/>
    <w:basedOn w:val="a0"/>
    <w:rsid w:val="00AA4AF9"/>
  </w:style>
  <w:style w:type="paragraph" w:styleId="a3">
    <w:name w:val="List Paragraph"/>
    <w:basedOn w:val="a"/>
    <w:uiPriority w:val="34"/>
    <w:qFormat/>
    <w:rsid w:val="00AA4AF9"/>
    <w:pPr>
      <w:ind w:firstLineChars="200" w:firstLine="420"/>
    </w:pPr>
  </w:style>
  <w:style w:type="paragraph" w:styleId="a4">
    <w:name w:val="header"/>
    <w:basedOn w:val="a"/>
    <w:link w:val="Char"/>
    <w:uiPriority w:val="99"/>
    <w:unhideWhenUsed/>
    <w:rsid w:val="00BC473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C4739"/>
    <w:rPr>
      <w:sz w:val="18"/>
      <w:szCs w:val="18"/>
    </w:rPr>
  </w:style>
  <w:style w:type="paragraph" w:styleId="a5">
    <w:name w:val="footer"/>
    <w:basedOn w:val="a"/>
    <w:link w:val="Char0"/>
    <w:uiPriority w:val="99"/>
    <w:unhideWhenUsed/>
    <w:rsid w:val="00BC4739"/>
    <w:pPr>
      <w:tabs>
        <w:tab w:val="center" w:pos="4153"/>
        <w:tab w:val="right" w:pos="8306"/>
      </w:tabs>
      <w:snapToGrid w:val="0"/>
      <w:jc w:val="left"/>
    </w:pPr>
    <w:rPr>
      <w:sz w:val="18"/>
      <w:szCs w:val="18"/>
    </w:rPr>
  </w:style>
  <w:style w:type="character" w:customStyle="1" w:styleId="Char0">
    <w:name w:val="页脚 Char"/>
    <w:basedOn w:val="a0"/>
    <w:link w:val="a5"/>
    <w:uiPriority w:val="99"/>
    <w:rsid w:val="00BC47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111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6</Pages>
  <Words>457</Words>
  <Characters>2611</Characters>
  <Application>Microsoft Office Word</Application>
  <DocSecurity>0</DocSecurity>
  <Lines>21</Lines>
  <Paragraphs>6</Paragraphs>
  <ScaleCrop>false</ScaleCrop>
  <Company>微软中国</Company>
  <LinksUpToDate>false</LinksUpToDate>
  <CharactersWithSpaces>3062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13</cp:revision>
  <dcterms:created xsi:type="dcterms:W3CDTF">2023-10-05T01:56:00Z</dcterms:created>
  <dcterms:modified xsi:type="dcterms:W3CDTF">2023-10-07T09:30:00Z</dcterms:modified>
</cp:coreProperties>
</file>