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CESI黑体-GB13000" w:hAnsi="CESI黑体-GB13000" w:eastAsia="CESI黑体-GB13000" w:cs="CESI黑体-GB13000"/>
          <w:color w:val="auto"/>
          <w:sz w:val="30"/>
          <w:szCs w:val="30"/>
        </w:rPr>
      </w:pPr>
      <w:bookmarkStart w:id="0" w:name="_Hlk78963791"/>
      <w:bookmarkStart w:id="1" w:name="_Hlk78906421"/>
      <w:r>
        <w:rPr>
          <w:rFonts w:hint="eastAsia" w:ascii="黑体" w:hAnsi="黑体" w:eastAsia="黑体" w:cs="黑体"/>
          <w:color w:val="auto"/>
          <w:szCs w:val="32"/>
        </w:rPr>
        <w:t>附件2</w:t>
      </w:r>
    </w:p>
    <w:p>
      <w:pPr>
        <w:adjustRightInd w:val="0"/>
        <w:snapToGrid w:val="0"/>
        <w:jc w:val="left"/>
        <w:rPr>
          <w:rFonts w:ascii="CESI黑体-GB13000" w:hAnsi="CESI黑体-GB13000" w:eastAsia="CESI黑体-GB13000" w:cs="CESI黑体-GB13000"/>
          <w:color w:val="auto"/>
          <w:sz w:val="30"/>
          <w:szCs w:val="30"/>
        </w:rPr>
      </w:pPr>
    </w:p>
    <w:p>
      <w:pPr>
        <w:adjustRightInd w:val="0"/>
        <w:snapToGrid w:val="0"/>
        <w:jc w:val="center"/>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绩效评价证明材料</w:t>
      </w:r>
    </w:p>
    <w:p>
      <w:pPr>
        <w:adjustRightInd w:val="0"/>
        <w:snapToGrid w:val="0"/>
        <w:rPr>
          <w:rFonts w:hint="eastAsia" w:ascii="仿宋_GB2312" w:hAnsi="CESI黑体-GB13000" w:cs="CESI黑体-GB13000"/>
          <w:color w:val="auto"/>
          <w:szCs w:val="32"/>
        </w:rPr>
      </w:pPr>
    </w:p>
    <w:p>
      <w:pPr>
        <w:autoSpaceDE w:val="0"/>
        <w:autoSpaceDN w:val="0"/>
        <w:adjustRightInd w:val="0"/>
        <w:snapToGrid w:val="0"/>
        <w:spacing w:line="600" w:lineRule="exact"/>
        <w:ind w:firstLine="640" w:firstLineChars="200"/>
        <w:rPr>
          <w:rFonts w:hint="eastAsia" w:ascii="黑体" w:hAnsi="黑体" w:eastAsia="黑体" w:cs="黑体"/>
          <w:color w:val="auto"/>
          <w:szCs w:val="32"/>
        </w:rPr>
      </w:pPr>
      <w:r>
        <w:rPr>
          <w:rFonts w:hint="eastAsia" w:ascii="黑体" w:hAnsi="黑体" w:eastAsia="黑体" w:cs="黑体"/>
          <w:color w:val="auto"/>
          <w:szCs w:val="32"/>
        </w:rPr>
        <w:t>一、专业服务</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1.1 专业孵化服务人员数量：需提供评价周期内的专业孵化服务人员社保凭证影印件、聘用协议关键信息页影印件、相关培训证明或相关孵化服务履历、教育经历证明影印件。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1.2 专业技术平台数量：付费使用的专业技术平台，需提供评价周期内的签约协议、付费使用凭证影印件及主要专业技术设备清单；投资建设使用的专业技术平台，需提供评价周期内的合作协议、购置专业技术设备凭证影印件及专业技术设备清单。</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bookmarkStart w:id="2" w:name="_Hlk78905109"/>
      <w:bookmarkStart w:id="3" w:name="_Hlk78905138"/>
      <w:r>
        <w:rPr>
          <w:rFonts w:hint="eastAsia" w:ascii="仿宋_GB2312" w:hAnsi="CESI仿宋-GB13000" w:cs="CESI仿宋-GB13000"/>
          <w:color w:val="auto"/>
          <w:szCs w:val="32"/>
        </w:rPr>
        <w:t>1.3 与省内外高校院</w:t>
      </w:r>
      <w:bookmarkEnd w:id="2"/>
      <w:r>
        <w:rPr>
          <w:rFonts w:hint="eastAsia" w:ascii="仿宋_GB2312" w:hAnsi="CESI仿宋-GB13000" w:cs="CESI仿宋-GB13000"/>
          <w:color w:val="auto"/>
          <w:szCs w:val="32"/>
        </w:rPr>
        <w:t>所</w:t>
      </w:r>
      <w:bookmarkEnd w:id="3"/>
      <w:r>
        <w:rPr>
          <w:rFonts w:hint="eastAsia" w:ascii="仿宋_GB2312" w:hAnsi="CESI仿宋-GB13000" w:cs="CESI仿宋-GB13000"/>
          <w:color w:val="auto"/>
          <w:szCs w:val="32"/>
        </w:rPr>
        <w:t>合作数量：孵化机构或在孵企业与省内外高校院所签署的合作协议</w:t>
      </w:r>
      <w:bookmarkStart w:id="4" w:name="_Hlk78987314"/>
      <w:r>
        <w:rPr>
          <w:rFonts w:hint="eastAsia" w:ascii="仿宋_GB2312" w:hAnsi="CESI仿宋-GB13000" w:cs="CESI仿宋-GB13000"/>
          <w:color w:val="auto"/>
          <w:szCs w:val="32"/>
        </w:rPr>
        <w:t>（在评价周期内有效）</w:t>
      </w:r>
      <w:bookmarkEnd w:id="4"/>
      <w:r>
        <w:rPr>
          <w:rFonts w:hint="eastAsia" w:ascii="仿宋_GB2312" w:hAnsi="CESI仿宋-GB13000" w:cs="CESI仿宋-GB13000"/>
          <w:color w:val="auto"/>
          <w:szCs w:val="32"/>
        </w:rPr>
        <w:t>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1.4 年度孵化服务活动开展数量：需提供评价周期内开展活动的通知、现场图片、签到表影印件。</w:t>
      </w:r>
    </w:p>
    <w:p>
      <w:pPr>
        <w:autoSpaceDE w:val="0"/>
        <w:autoSpaceDN w:val="0"/>
        <w:adjustRightInd w:val="0"/>
        <w:snapToGrid w:val="0"/>
        <w:spacing w:line="600" w:lineRule="exact"/>
        <w:ind w:firstLine="640" w:firstLineChars="200"/>
        <w:rPr>
          <w:rFonts w:hint="eastAsia" w:ascii="黑体" w:hAnsi="黑体" w:eastAsia="黑体" w:cs="黑体"/>
          <w:color w:val="auto"/>
          <w:szCs w:val="32"/>
        </w:rPr>
      </w:pPr>
      <w:r>
        <w:rPr>
          <w:rFonts w:hint="eastAsia" w:ascii="黑体" w:hAnsi="黑体" w:eastAsia="黑体" w:cs="黑体"/>
          <w:color w:val="auto"/>
          <w:szCs w:val="32"/>
        </w:rPr>
        <w:t>二、资金服务</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2.1 自有种子资金总额：</w:t>
      </w:r>
      <w:bookmarkStart w:id="5" w:name="_Hlk78987110"/>
      <w:r>
        <w:rPr>
          <w:rFonts w:hint="eastAsia" w:ascii="仿宋_GB2312" w:hAnsi="CESI仿宋-GB13000" w:cs="CESI仿宋-GB13000"/>
          <w:color w:val="auto"/>
          <w:szCs w:val="32"/>
        </w:rPr>
        <w:t>总额不低于100万，</w:t>
      </w:r>
      <w:bookmarkEnd w:id="5"/>
      <w:r>
        <w:rPr>
          <w:rFonts w:hint="eastAsia" w:ascii="仿宋_GB2312" w:hAnsi="CESI仿宋-GB13000" w:cs="CESI仿宋-GB13000"/>
          <w:color w:val="auto"/>
          <w:szCs w:val="32"/>
        </w:rPr>
        <w:t>需提供评价周期内有效的种子资金管理办法、开户证明影印件。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2.2 合作设立的孵化资金中出资额：合作的孵化资金总额不低于100万元，需提供评价周期内有效的参股协议、基金管理办法、开户证明影印件。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2.3 年度获得股权投资的在孵企业数：投资金额不低于30万/家，需提供评价周期内签署的投资协议及银行资金往来凭证影印件。</w:t>
      </w:r>
    </w:p>
    <w:p>
      <w:pPr>
        <w:autoSpaceDE w:val="0"/>
        <w:autoSpaceDN w:val="0"/>
        <w:adjustRightInd w:val="0"/>
        <w:snapToGrid w:val="0"/>
        <w:spacing w:line="600" w:lineRule="exact"/>
        <w:ind w:firstLine="640" w:firstLineChars="200"/>
        <w:rPr>
          <w:rFonts w:hint="eastAsia" w:ascii="黑体" w:hAnsi="黑体" w:eastAsia="黑体" w:cs="黑体"/>
          <w:color w:val="auto"/>
          <w:szCs w:val="32"/>
        </w:rPr>
      </w:pPr>
      <w:r>
        <w:rPr>
          <w:rFonts w:hint="eastAsia" w:ascii="黑体" w:hAnsi="黑体" w:eastAsia="黑体" w:cs="黑体"/>
          <w:color w:val="auto"/>
          <w:szCs w:val="32"/>
        </w:rPr>
        <w:t>三、孵化绩效</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3.1 在孵企业数量：需提供评价周期内在孵企业营业执照及入孵协议影印件。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3.2 年度新注册的在孵企业数量：</w:t>
      </w:r>
      <w:bookmarkStart w:id="6" w:name="_Hlk78905410"/>
      <w:r>
        <w:rPr>
          <w:rFonts w:hint="eastAsia" w:ascii="仿宋_GB2312" w:hAnsi="CESI仿宋-GB13000" w:cs="CESI仿宋-GB13000"/>
          <w:color w:val="auto"/>
          <w:szCs w:val="32"/>
        </w:rPr>
        <w:t>需提供评价周期内新注册成立的在孵企业营业执照及入孵协议影印件。</w:t>
      </w:r>
    </w:p>
    <w:bookmarkEnd w:id="6"/>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3.3 在孵企业中高校院所科技人员创办的企业数量：需提供高校出具的聘用证明、第一大股东证明、营业执照、入孵协议（在评价周期内有效）影印件。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bookmarkStart w:id="7" w:name="_Hlk78907671"/>
      <w:r>
        <w:rPr>
          <w:rFonts w:hint="eastAsia" w:ascii="仿宋_GB2312" w:hAnsi="CESI仿宋-GB13000" w:cs="CESI仿宋-GB13000"/>
          <w:color w:val="auto"/>
          <w:szCs w:val="32"/>
        </w:rPr>
        <w:t>3.4 在孵企业中毕业2年内高校毕业生创办的企业数量</w:t>
      </w:r>
      <w:bookmarkEnd w:id="7"/>
      <w:r>
        <w:rPr>
          <w:rFonts w:hint="eastAsia" w:ascii="仿宋_GB2312" w:hAnsi="CESI仿宋-GB13000" w:cs="CESI仿宋-GB13000"/>
          <w:color w:val="auto"/>
          <w:szCs w:val="32"/>
        </w:rPr>
        <w:t>：需提供高等院校毕业证书、法人证明或第一大股东证明、营业执照、入孵协议</w:t>
      </w:r>
      <w:bookmarkStart w:id="8" w:name="_Hlk78987349"/>
      <w:r>
        <w:rPr>
          <w:rFonts w:hint="eastAsia" w:ascii="仿宋_GB2312" w:hAnsi="CESI仿宋-GB13000" w:cs="CESI仿宋-GB13000"/>
          <w:color w:val="auto"/>
          <w:szCs w:val="32"/>
        </w:rPr>
        <w:t>（在评价周期内有效）</w:t>
      </w:r>
      <w:bookmarkEnd w:id="8"/>
      <w:r>
        <w:rPr>
          <w:rFonts w:hint="eastAsia" w:ascii="仿宋_GB2312" w:hAnsi="CESI仿宋-GB13000" w:cs="CESI仿宋-GB13000"/>
          <w:color w:val="auto"/>
          <w:szCs w:val="32"/>
        </w:rPr>
        <w:t>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3.5 年度毕业企业数量：需提供评价周期内毕业企业营业执照、入孵协议影印件及与毕业事由相关的证明材料（高企证书、财务报表及投融资证明等）。</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3.6 年度在孵企业中首次认定为高新技术企业数量：需提供评价周期内颁发的高企证书、入孵协议、营业执照影印件。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3.7 年度在孵企业获得知识产权授权数量：需提供评价周期内授权的证书影印件。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3.8 年度参与全国创新创业大赛在孵企业的数量：需提供在孵企业参与第十一届全国创新创业大赛（2022年度）的报名截图影印件。</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3.9 年度在孵企业中入库的科技型中小企业数量：需提供评价周期内在孵企业入库编号、系统查询结果截图、营业执照及入孵协议影印件。</w:t>
      </w:r>
    </w:p>
    <w:p>
      <w:pPr>
        <w:autoSpaceDE w:val="0"/>
        <w:autoSpaceDN w:val="0"/>
        <w:adjustRightInd w:val="0"/>
        <w:snapToGrid w:val="0"/>
        <w:spacing w:line="600" w:lineRule="exact"/>
        <w:ind w:firstLine="640" w:firstLineChars="200"/>
        <w:rPr>
          <w:rFonts w:hint="eastAsia" w:ascii="黑体" w:hAnsi="黑体" w:eastAsia="黑体" w:cs="黑体"/>
          <w:color w:val="auto"/>
          <w:szCs w:val="32"/>
        </w:rPr>
      </w:pPr>
      <w:r>
        <w:rPr>
          <w:rFonts w:hint="eastAsia" w:ascii="黑体" w:hAnsi="黑体" w:eastAsia="黑体" w:cs="黑体"/>
          <w:color w:val="auto"/>
          <w:szCs w:val="32"/>
        </w:rPr>
        <w:t>四、可持续发展</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4.1 年度孵化机构总收入：需提供评价周期内孵化机构财务报表（加盖财务章）及财务审计报告。</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4.2 年度孵化服务收入和投资收入占总收入比重：需提供评价周期内孵化机构财务报表（加盖财务章）及财务审计报告。</w:t>
      </w:r>
    </w:p>
    <w:p>
      <w:pPr>
        <w:autoSpaceDE w:val="0"/>
        <w:autoSpaceDN w:val="0"/>
        <w:adjustRightInd w:val="0"/>
        <w:snapToGrid w:val="0"/>
        <w:spacing w:line="600" w:lineRule="exact"/>
        <w:ind w:firstLine="640" w:firstLineChars="200"/>
        <w:rPr>
          <w:rFonts w:hint="eastAsia" w:ascii="仿宋_GB2312" w:hAnsi="CESI仿宋-GB13000" w:cs="CESI仿宋-GB13000"/>
          <w:color w:val="auto"/>
          <w:szCs w:val="32"/>
        </w:rPr>
      </w:pPr>
      <w:r>
        <w:rPr>
          <w:rFonts w:hint="eastAsia" w:ascii="仿宋_GB2312" w:hAnsi="CESI仿宋-GB13000" w:cs="CESI仿宋-GB13000"/>
          <w:color w:val="auto"/>
          <w:szCs w:val="32"/>
        </w:rPr>
        <w:t>4.3 按时参与科技部火炬统计工作情况：需提供火炬统计系统下载、带有火炬水印的2022年度孵化机构综合情况表影印件。</w:t>
      </w:r>
    </w:p>
    <w:bookmarkEnd w:id="0"/>
    <w:bookmarkEnd w:id="1"/>
    <w:p>
      <w:pPr>
        <w:spacing w:line="600" w:lineRule="exact"/>
        <w:rPr>
          <w:rFonts w:hint="eastAsia" w:ascii="仿宋_GB2312" w:hAnsi="CESI仿宋-GB13000" w:cs="CESI仿宋-GB13000"/>
          <w:color w:val="auto"/>
          <w:sz w:val="44"/>
          <w:szCs w:val="44"/>
        </w:rPr>
      </w:pPr>
      <w:bookmarkStart w:id="9" w:name="_GoBack"/>
      <w:bookmarkEnd w:id="9"/>
    </w:p>
    <w:sectPr>
      <w:footerReference r:id="rId3" w:type="default"/>
      <w:footerReference r:id="rId4" w:type="even"/>
      <w:pgSz w:w="11906" w:h="16838"/>
      <w:pgMar w:top="1985" w:right="1588" w:bottom="2098" w:left="1474" w:header="851" w:footer="992" w:gutter="0"/>
      <w:pgNumType w:fmt="numberIn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6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2010601030101010101"/>
    <w:charset w:val="86"/>
    <w:family w:val="script"/>
    <w:pitch w:val="default"/>
    <w:sig w:usb0="00000000" w:usb1="00000000" w:usb2="00000000" w:usb3="00000000" w:csb0="00060000" w:csb1="00000000"/>
  </w:font>
  <w:font w:name="CESI黑体-GB13000">
    <w:altName w:val="黑体"/>
    <w:panose1 w:val="02000500000000000000"/>
    <w:charset w:val="00"/>
    <w:family w:val="auto"/>
    <w:pitch w:val="default"/>
    <w:sig w:usb0="00000000" w:usb1="00000000" w:usb2="00000016" w:usb3="00000000" w:csb0="0004000F" w:csb1="00000000"/>
  </w:font>
  <w:font w:name="方正小标宋_GBK">
    <w:altName w:val="Arial Unicode MS"/>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ESI楷体-GB13000">
    <w:altName w:val="宋体"/>
    <w:panose1 w:val="02000500000000000000"/>
    <w:charset w:val="00"/>
    <w:family w:val="auto"/>
    <w:pitch w:val="default"/>
    <w:sig w:usb0="00000000" w:usb1="00000000" w:usb2="00000016" w:usb3="00000000" w:csb0="0004000F" w:csb1="00000000"/>
  </w:font>
  <w:font w:name="CESI仿宋-GB13000">
    <w:altName w:val="仿宋"/>
    <w:panose1 w:val="02000500000000000000"/>
    <w:charset w:val="00"/>
    <w:family w:val="auto"/>
    <w:pitch w:val="default"/>
    <w:sig w:usb0="00000000" w:usb1="00000000" w:usb2="00000016" w:usb3="00000000" w:csb0="0004000F" w:csb1="00000000"/>
  </w:font>
  <w:font w:name="方正仿宋_GBK">
    <w:altName w:val="Arial Unicode MS"/>
    <w:panose1 w:val="02000000000000000000"/>
    <w:charset w:val="86"/>
    <w:family w:val="script"/>
    <w:pitch w:val="default"/>
    <w:sig w:usb0="00000000" w:usb1="00000000" w:usb2="00000000" w:usb3="00000000" w:csb0="00160000"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00"/>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eastAsia="宋体"/>
        <w:color w:val="auto"/>
        <w:sz w:val="28"/>
        <w:szCs w:val="28"/>
      </w:rPr>
    </w:pPr>
    <w:r>
      <w:rPr>
        <w:rFonts w:ascii="宋体" w:hAnsi="宋体" w:eastAsia="宋体"/>
        <w:color w:val="auto"/>
        <w:sz w:val="28"/>
        <w:szCs w:val="28"/>
      </w:rPr>
      <w:fldChar w:fldCharType="begin"/>
    </w:r>
    <w:r>
      <w:rPr>
        <w:rFonts w:ascii="宋体" w:hAnsi="宋体" w:eastAsia="宋体"/>
        <w:color w:val="auto"/>
        <w:sz w:val="28"/>
        <w:szCs w:val="28"/>
      </w:rPr>
      <w:instrText xml:space="preserve"> PAGE   \* MERGEFORMAT </w:instrText>
    </w:r>
    <w:r>
      <w:rPr>
        <w:rFonts w:ascii="宋体" w:hAnsi="宋体" w:eastAsia="宋体"/>
        <w:color w:val="auto"/>
        <w:sz w:val="28"/>
        <w:szCs w:val="28"/>
      </w:rPr>
      <w:fldChar w:fldCharType="separate"/>
    </w:r>
    <w:r>
      <w:rPr>
        <w:rFonts w:ascii="宋体" w:hAnsi="宋体" w:eastAsia="宋体"/>
        <w:color w:val="auto"/>
        <w:sz w:val="28"/>
        <w:szCs w:val="28"/>
        <w:lang w:val="zh-CN"/>
      </w:rPr>
      <w:t>-</w:t>
    </w:r>
    <w:r>
      <w:rPr>
        <w:rFonts w:ascii="宋体" w:hAnsi="宋体" w:eastAsia="宋体"/>
        <w:color w:val="auto"/>
        <w:sz w:val="28"/>
        <w:szCs w:val="28"/>
      </w:rPr>
      <w:t xml:space="preserve"> 13 -</w:t>
    </w:r>
    <w:r>
      <w:rPr>
        <w:rFonts w:ascii="宋体" w:hAnsi="宋体" w:eastAsia="宋体"/>
        <w:color w:val="auto"/>
        <w:sz w:val="28"/>
        <w:szCs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eastAsia="宋体"/>
        <w:color w:val="auto"/>
        <w:sz w:val="28"/>
        <w:szCs w:val="28"/>
      </w:rPr>
    </w:pPr>
    <w:r>
      <w:rPr>
        <w:rFonts w:ascii="宋体" w:hAnsi="宋体" w:eastAsia="宋体"/>
        <w:color w:val="auto"/>
        <w:sz w:val="28"/>
        <w:szCs w:val="28"/>
      </w:rPr>
      <w:fldChar w:fldCharType="begin"/>
    </w:r>
    <w:r>
      <w:rPr>
        <w:rFonts w:ascii="宋体" w:hAnsi="宋体" w:eastAsia="宋体"/>
        <w:color w:val="auto"/>
        <w:sz w:val="28"/>
        <w:szCs w:val="28"/>
      </w:rPr>
      <w:instrText xml:space="preserve"> PAGE   \* MERGEFORMAT </w:instrText>
    </w:r>
    <w:r>
      <w:rPr>
        <w:rFonts w:ascii="宋体" w:hAnsi="宋体" w:eastAsia="宋体"/>
        <w:color w:val="auto"/>
        <w:sz w:val="28"/>
        <w:szCs w:val="28"/>
      </w:rPr>
      <w:fldChar w:fldCharType="separate"/>
    </w:r>
    <w:r>
      <w:rPr>
        <w:rFonts w:ascii="宋体" w:hAnsi="宋体" w:eastAsia="宋体"/>
        <w:color w:val="auto"/>
        <w:sz w:val="28"/>
        <w:szCs w:val="28"/>
        <w:lang w:val="zh-CN"/>
      </w:rPr>
      <w:t>-</w:t>
    </w:r>
    <w:r>
      <w:rPr>
        <w:rFonts w:ascii="宋体" w:hAnsi="宋体" w:eastAsia="宋体"/>
        <w:color w:val="auto"/>
        <w:sz w:val="28"/>
        <w:szCs w:val="28"/>
      </w:rPr>
      <w:t xml:space="preserve"> 12 -</w:t>
    </w:r>
    <w:r>
      <w:rPr>
        <w:rFonts w:ascii="宋体" w:hAnsi="宋体" w:eastAsia="宋体"/>
        <w:color w:val="auto"/>
        <w:sz w:val="28"/>
        <w:szCs w:val="28"/>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4Y2I3NzJmZDhlMWEwZDE5MzBkZGRhYzllNDY2NWQifQ=="/>
  </w:docVars>
  <w:rsids>
    <w:rsidRoot w:val="00172A27"/>
    <w:rsid w:val="00080C56"/>
    <w:rsid w:val="000E1CD6"/>
    <w:rsid w:val="000E36A2"/>
    <w:rsid w:val="000F3CB5"/>
    <w:rsid w:val="001520D0"/>
    <w:rsid w:val="0017111F"/>
    <w:rsid w:val="00184D2B"/>
    <w:rsid w:val="001A59E6"/>
    <w:rsid w:val="001B6292"/>
    <w:rsid w:val="001F275C"/>
    <w:rsid w:val="00217A36"/>
    <w:rsid w:val="00234308"/>
    <w:rsid w:val="00237150"/>
    <w:rsid w:val="00251C37"/>
    <w:rsid w:val="002A3333"/>
    <w:rsid w:val="002C4DB6"/>
    <w:rsid w:val="002F6152"/>
    <w:rsid w:val="00355827"/>
    <w:rsid w:val="003B58B3"/>
    <w:rsid w:val="003B6B53"/>
    <w:rsid w:val="003E38B9"/>
    <w:rsid w:val="003F108B"/>
    <w:rsid w:val="003F55EE"/>
    <w:rsid w:val="00420B2B"/>
    <w:rsid w:val="004805E4"/>
    <w:rsid w:val="00494A4F"/>
    <w:rsid w:val="00496558"/>
    <w:rsid w:val="004F2942"/>
    <w:rsid w:val="00590C99"/>
    <w:rsid w:val="005B7796"/>
    <w:rsid w:val="005F3B00"/>
    <w:rsid w:val="00600B79"/>
    <w:rsid w:val="00621CDD"/>
    <w:rsid w:val="0063634E"/>
    <w:rsid w:val="006366C5"/>
    <w:rsid w:val="006E7BE2"/>
    <w:rsid w:val="006F7B44"/>
    <w:rsid w:val="007172B1"/>
    <w:rsid w:val="00755E2B"/>
    <w:rsid w:val="00764941"/>
    <w:rsid w:val="007652A6"/>
    <w:rsid w:val="00776122"/>
    <w:rsid w:val="0078263D"/>
    <w:rsid w:val="00797ADE"/>
    <w:rsid w:val="007D7000"/>
    <w:rsid w:val="00852147"/>
    <w:rsid w:val="00856250"/>
    <w:rsid w:val="00945E23"/>
    <w:rsid w:val="00965E26"/>
    <w:rsid w:val="009D25BE"/>
    <w:rsid w:val="00A00112"/>
    <w:rsid w:val="00AC1387"/>
    <w:rsid w:val="00AE2C4B"/>
    <w:rsid w:val="00B02B06"/>
    <w:rsid w:val="00B26598"/>
    <w:rsid w:val="00B27228"/>
    <w:rsid w:val="00C2527C"/>
    <w:rsid w:val="00C919E1"/>
    <w:rsid w:val="00C938D0"/>
    <w:rsid w:val="00D26170"/>
    <w:rsid w:val="00D4677A"/>
    <w:rsid w:val="00DC0E71"/>
    <w:rsid w:val="00DE3E3D"/>
    <w:rsid w:val="00F04EDA"/>
    <w:rsid w:val="00F13380"/>
    <w:rsid w:val="00F33796"/>
    <w:rsid w:val="00F559C3"/>
    <w:rsid w:val="00F64B7F"/>
    <w:rsid w:val="00FA4F62"/>
    <w:rsid w:val="00FC6A32"/>
    <w:rsid w:val="1CEF6A39"/>
    <w:rsid w:val="4FFE931B"/>
    <w:rsid w:val="5EEFB25F"/>
    <w:rsid w:val="68551840"/>
    <w:rsid w:val="6FDF25D0"/>
    <w:rsid w:val="6FFA3583"/>
    <w:rsid w:val="79DE0E0F"/>
    <w:rsid w:val="7A0A594B"/>
    <w:rsid w:val="7BDD024B"/>
    <w:rsid w:val="89BB800E"/>
    <w:rsid w:val="BB3927FB"/>
    <w:rsid w:val="BE8F86EB"/>
    <w:rsid w:val="BEFF7A9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lang w:val="en-US" w:eastAsia="zh-CN" w:bidi="ar-SA"/>
    </w:rPr>
  </w:style>
  <w:style w:type="paragraph" w:styleId="2">
    <w:name w:val="heading 1"/>
    <w:basedOn w:val="1"/>
    <w:next w:val="1"/>
    <w:link w:val="16"/>
    <w:qFormat/>
    <w:uiPriority w:val="0"/>
    <w:pPr>
      <w:keepNext/>
      <w:keepLines/>
      <w:suppressAutoHyphens/>
      <w:spacing w:before="120" w:after="60" w:line="360" w:lineRule="auto"/>
      <w:ind w:firstLine="883" w:firstLineChars="200"/>
      <w:jc w:val="left"/>
      <w:outlineLvl w:val="0"/>
    </w:pPr>
    <w:rPr>
      <w:rFonts w:ascii="Calibri" w:hAnsi="Calibri" w:eastAsia="黑体"/>
      <w:b/>
      <w:color w:val="auto"/>
      <w:kern w:val="44"/>
      <w:szCs w:val="2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eastAsia="宋体" w:cs="Times New Roman"/>
      <w:b/>
      <w:bCs/>
      <w:color w:val="auto"/>
      <w:szCs w:val="32"/>
    </w:rPr>
  </w:style>
  <w:style w:type="character" w:default="1" w:styleId="15">
    <w:name w:val="Default Paragraph Font"/>
    <w:uiPriority w:val="0"/>
  </w:style>
  <w:style w:type="table" w:default="1" w:styleId="13">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eastAsia="宋体"/>
      <w:color w:val="auto"/>
      <w:sz w:val="21"/>
      <w:szCs w:val="24"/>
    </w:rPr>
  </w:style>
  <w:style w:type="paragraph" w:styleId="5">
    <w:name w:val="Body Text"/>
    <w:basedOn w:val="1"/>
    <w:link w:val="18"/>
    <w:qFormat/>
    <w:uiPriority w:val="0"/>
    <w:rPr>
      <w:rFonts w:ascii="Calibri" w:hAnsi="Calibri" w:eastAsia="宋体" w:cs="Calibri"/>
      <w:color w:val="auto"/>
      <w:sz w:val="21"/>
      <w:szCs w:val="21"/>
    </w:rPr>
  </w:style>
  <w:style w:type="paragraph" w:styleId="6">
    <w:name w:val="Body Text Indent"/>
    <w:basedOn w:val="1"/>
    <w:link w:val="19"/>
    <w:qFormat/>
    <w:uiPriority w:val="0"/>
    <w:pPr>
      <w:spacing w:after="120"/>
      <w:ind w:left="420" w:leftChars="200"/>
    </w:pPr>
  </w:style>
  <w:style w:type="paragraph" w:styleId="7">
    <w:name w:val="Date"/>
    <w:basedOn w:val="1"/>
    <w:next w:val="1"/>
    <w:link w:val="20"/>
    <w:qFormat/>
    <w:uiPriority w:val="0"/>
    <w:pPr>
      <w:ind w:left="100" w:leftChars="2500"/>
    </w:pPr>
  </w:style>
  <w:style w:type="paragraph" w:styleId="8">
    <w:name w:val="footer"/>
    <w:basedOn w:val="1"/>
    <w:link w:val="2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Normal (Web)"/>
    <w:basedOn w:val="1"/>
    <w:qFormat/>
    <w:uiPriority w:val="99"/>
    <w:pPr>
      <w:widowControl/>
      <w:spacing w:before="100" w:beforeAutospacing="1" w:after="100" w:afterAutospacing="1"/>
      <w:jc w:val="left"/>
    </w:pPr>
    <w:rPr>
      <w:rFonts w:ascii="宋体" w:hAnsi="宋体" w:eastAsia="宋体" w:cs="宋体"/>
      <w:color w:val="auto"/>
      <w:kern w:val="0"/>
      <w:sz w:val="24"/>
      <w:szCs w:val="24"/>
    </w:rPr>
  </w:style>
  <w:style w:type="paragraph" w:styleId="11">
    <w:name w:val="Title"/>
    <w:basedOn w:val="1"/>
    <w:next w:val="1"/>
    <w:link w:val="22"/>
    <w:qFormat/>
    <w:uiPriority w:val="0"/>
    <w:pPr>
      <w:spacing w:before="240" w:after="60"/>
      <w:jc w:val="center"/>
      <w:outlineLvl w:val="0"/>
    </w:pPr>
    <w:rPr>
      <w:rFonts w:ascii="Cambria" w:hAnsi="Cambria" w:eastAsia="宋体" w:cs="Times New Roman"/>
      <w:b/>
      <w:bCs/>
      <w:szCs w:val="32"/>
    </w:rPr>
  </w:style>
  <w:style w:type="paragraph" w:styleId="12">
    <w:name w:val="Body Text First Indent 2"/>
    <w:basedOn w:val="6"/>
    <w:link w:val="23"/>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Char"/>
    <w:basedOn w:val="15"/>
    <w:link w:val="2"/>
    <w:qFormat/>
    <w:uiPriority w:val="0"/>
    <w:rPr>
      <w:rFonts w:ascii="Calibri" w:hAnsi="Calibri" w:eastAsia="黑体"/>
      <w:b/>
      <w:kern w:val="44"/>
      <w:sz w:val="32"/>
      <w:szCs w:val="24"/>
    </w:rPr>
  </w:style>
  <w:style w:type="character" w:customStyle="1" w:styleId="17">
    <w:name w:val="标题 2 Char"/>
    <w:basedOn w:val="15"/>
    <w:link w:val="3"/>
    <w:qFormat/>
    <w:uiPriority w:val="9"/>
    <w:rPr>
      <w:rFonts w:ascii="Cambria" w:hAnsi="Cambria" w:eastAsia="宋体" w:cs="Times New Roman"/>
      <w:b/>
      <w:bCs/>
      <w:kern w:val="2"/>
      <w:sz w:val="32"/>
      <w:szCs w:val="32"/>
    </w:rPr>
  </w:style>
  <w:style w:type="character" w:customStyle="1" w:styleId="18">
    <w:name w:val="正文文本 Char"/>
    <w:basedOn w:val="15"/>
    <w:link w:val="5"/>
    <w:qFormat/>
    <w:uiPriority w:val="0"/>
    <w:rPr>
      <w:rFonts w:ascii="Calibri" w:hAnsi="Calibri" w:cs="Calibri"/>
      <w:kern w:val="2"/>
      <w:sz w:val="21"/>
      <w:szCs w:val="21"/>
    </w:rPr>
  </w:style>
  <w:style w:type="character" w:customStyle="1" w:styleId="19">
    <w:name w:val="正文文本缩进 Char"/>
    <w:basedOn w:val="15"/>
    <w:link w:val="6"/>
    <w:qFormat/>
    <w:uiPriority w:val="0"/>
    <w:rPr>
      <w:rFonts w:eastAsia="仿宋_GB2312"/>
      <w:color w:val="FF0000"/>
      <w:kern w:val="2"/>
      <w:sz w:val="32"/>
    </w:rPr>
  </w:style>
  <w:style w:type="character" w:customStyle="1" w:styleId="20">
    <w:name w:val="日期 Char"/>
    <w:basedOn w:val="15"/>
    <w:link w:val="7"/>
    <w:qFormat/>
    <w:uiPriority w:val="0"/>
    <w:rPr>
      <w:rFonts w:eastAsia="仿宋_GB2312"/>
      <w:color w:val="FF0000"/>
      <w:kern w:val="2"/>
      <w:sz w:val="32"/>
    </w:rPr>
  </w:style>
  <w:style w:type="character" w:customStyle="1" w:styleId="21">
    <w:name w:val="页脚 Char"/>
    <w:basedOn w:val="15"/>
    <w:link w:val="8"/>
    <w:qFormat/>
    <w:uiPriority w:val="99"/>
    <w:rPr>
      <w:rFonts w:eastAsia="仿宋_GB2312"/>
      <w:color w:val="FF0000"/>
      <w:kern w:val="2"/>
      <w:sz w:val="18"/>
    </w:rPr>
  </w:style>
  <w:style w:type="character" w:customStyle="1" w:styleId="22">
    <w:name w:val="标题 Char"/>
    <w:basedOn w:val="15"/>
    <w:link w:val="11"/>
    <w:qFormat/>
    <w:uiPriority w:val="0"/>
    <w:rPr>
      <w:rFonts w:ascii="Cambria" w:hAnsi="Cambria" w:cs="Times New Roman"/>
      <w:b/>
      <w:bCs/>
      <w:color w:val="FF0000"/>
      <w:kern w:val="2"/>
      <w:sz w:val="32"/>
      <w:szCs w:val="32"/>
    </w:rPr>
  </w:style>
  <w:style w:type="character" w:customStyle="1" w:styleId="23">
    <w:name w:val="正文首行缩进 2 Char"/>
    <w:basedOn w:val="19"/>
    <w:link w:val="12"/>
    <w:uiPriority w:val="0"/>
  </w:style>
  <w:style w:type="paragraph" w:customStyle="1" w:styleId="24">
    <w:name w:val="列出段落1"/>
    <w:basedOn w:val="1"/>
    <w:qFormat/>
    <w:uiPriority w:val="34"/>
    <w:pPr>
      <w:ind w:firstLine="420" w:firstLineChars="200"/>
    </w:pPr>
    <w:rPr>
      <w:rFonts w:ascii="Calibri" w:hAnsi="Calibri" w:eastAsia="宋体" w:cs="黑体"/>
      <w:color w:val="auto"/>
      <w:sz w:val="21"/>
      <w:szCs w:val="22"/>
    </w:rPr>
  </w:style>
  <w:style w:type="paragraph" w:customStyle="1" w:styleId="25">
    <w:name w:val="公文一级标题"/>
    <w:basedOn w:val="1"/>
    <w:qFormat/>
    <w:uiPriority w:val="0"/>
    <w:pPr>
      <w:spacing w:line="560" w:lineRule="exact"/>
      <w:ind w:firstLine="640" w:firstLineChars="200"/>
      <w:jc w:val="center"/>
    </w:pPr>
    <w:rPr>
      <w:rFonts w:ascii="仿宋_GB2312" w:hAnsi="等线" w:eastAsia="方正小标宋简体"/>
      <w:color w:val="auto"/>
      <w:sz w:val="44"/>
      <w:szCs w:val="32"/>
    </w:rPr>
  </w:style>
  <w:style w:type="paragraph" w:customStyle="1" w:styleId="26">
    <w:name w:val="BodyText1I2"/>
    <w:basedOn w:val="1"/>
    <w:next w:val="1"/>
    <w:qFormat/>
    <w:uiPriority w:val="0"/>
    <w:pPr>
      <w:suppressAutoHyphens/>
      <w:spacing w:after="120"/>
      <w:ind w:left="420" w:leftChars="200" w:firstLine="420" w:firstLineChars="200"/>
      <w:textAlignment w:val="baseline"/>
    </w:pPr>
    <w:rPr>
      <w:rFonts w:ascii="Calibri" w:hAnsi="Calibri" w:eastAsia="宋体"/>
      <w:color w:val="auto"/>
      <w:sz w:val="21"/>
      <w:szCs w:val="24"/>
    </w:rPr>
  </w:style>
  <w:style w:type="paragraph" w:customStyle="1" w:styleId="27">
    <w:name w:val="paragraph"/>
    <w:basedOn w:val="1"/>
    <w:qFormat/>
    <w:uiPriority w:val="0"/>
    <w:pPr>
      <w:widowControl/>
      <w:suppressAutoHyphens/>
      <w:spacing w:before="100" w:beforeAutospacing="1" w:after="100" w:afterAutospacing="1"/>
      <w:jc w:val="left"/>
    </w:pPr>
    <w:rPr>
      <w:rFonts w:ascii="宋体" w:hAnsi="宋体" w:eastAsia="宋体" w:cs="宋体"/>
      <w:color w:val="auto"/>
      <w:kern w:val="0"/>
      <w:sz w:val="24"/>
      <w:szCs w:val="24"/>
    </w:rPr>
  </w:style>
  <w:style w:type="paragraph" w:customStyle="1" w:styleId="28">
    <w:name w:val="pa-20"/>
    <w:basedOn w:val="1"/>
    <w:qFormat/>
    <w:uiPriority w:val="99"/>
    <w:pPr>
      <w:widowControl/>
      <w:spacing w:before="100" w:beforeAutospacing="1" w:after="100" w:afterAutospacing="1"/>
      <w:jc w:val="left"/>
    </w:pPr>
    <w:rPr>
      <w:rFonts w:ascii="宋体" w:hAnsi="宋体" w:eastAsia="宋体" w:cs="宋体"/>
      <w:color w:val="auto"/>
      <w:kern w:val="0"/>
      <w:sz w:val="24"/>
      <w:szCs w:val="24"/>
    </w:rPr>
  </w:style>
  <w:style w:type="table" w:customStyle="1" w:styleId="29">
    <w:name w:val="网格型1"/>
    <w:basedOn w:val="13"/>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www.window7.com</Company>
  <Pages>8</Pages>
  <Words>2175</Words>
  <Characters>2324</Characters>
  <Lines>32</Lines>
  <Paragraphs>9</Paragraphs>
  <TotalTime>8</TotalTime>
  <ScaleCrop>false</ScaleCrop>
  <LinksUpToDate>false</LinksUpToDate>
  <CharactersWithSpaces>2580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2023-06-10T01:52:00Z</dcterms:created>
  <dc:creator>MC SYSTEM</dc:creator>
  <cp:lastModifiedBy>Akela</cp:lastModifiedBy>
  <cp:lastPrinted>2023-06-14T00:59:00Z</cp:lastPrinted>
  <dcterms:modified xsi:type="dcterms:W3CDTF">2023-06-14T02:09:33Z</dcterms:modified>
  <dc:title>关于报送第一、二季度有关文件、会议数据的函</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EE3D6C41693A466DB991E2489AE1123E_13</vt:lpwstr>
  </property>
</Properties>
</file>