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spacing w:line="560" w:lineRule="exact"/>
        <w:jc w:val="both"/>
        <w:rPr>
          <w:rFonts w:ascii="方正小标宋简体" w:hAnsi="仿宋" w:eastAsia="方正小标宋简体" w:cs="Times New Roman"/>
          <w:sz w:val="44"/>
          <w:szCs w:val="44"/>
          <w:shd w:val="clear" w:color="auto" w:fill="FFFFFF"/>
        </w:rPr>
      </w:pPr>
    </w:p>
    <w:p>
      <w:pPr>
        <w:spacing w:line="560" w:lineRule="exact"/>
        <w:jc w:val="center"/>
        <w:rPr>
          <w:rFonts w:ascii="方正小标宋简体" w:hAnsi="仿宋" w:eastAsia="方正小标宋简体" w:cs="Times New Roman"/>
          <w:sz w:val="44"/>
          <w:szCs w:val="44"/>
          <w:shd w:val="clear" w:color="auto" w:fill="FFFFFF"/>
        </w:rPr>
      </w:pPr>
      <w:r>
        <w:rPr>
          <w:rFonts w:hint="eastAsia" w:ascii="方正小标宋简体" w:hAnsi="仿宋" w:eastAsia="方正小标宋简体" w:cs="Times New Roman"/>
          <w:sz w:val="44"/>
          <w:szCs w:val="44"/>
          <w:shd w:val="clear" w:color="auto" w:fill="FFFFFF"/>
        </w:rPr>
        <w:t>科技部关于举办2022年全国颠覆性</w:t>
      </w:r>
    </w:p>
    <w:p>
      <w:pPr>
        <w:spacing w:line="560" w:lineRule="exact"/>
        <w:jc w:val="center"/>
        <w:rPr>
          <w:rFonts w:ascii="方正小标宋简体" w:hAnsi="仿宋" w:eastAsia="方正小标宋简体" w:cs="Times New Roman"/>
          <w:sz w:val="44"/>
          <w:szCs w:val="44"/>
          <w:shd w:val="clear" w:color="auto" w:fill="FFFFFF"/>
        </w:rPr>
      </w:pPr>
      <w:r>
        <w:rPr>
          <w:rFonts w:hint="eastAsia" w:ascii="方正小标宋简体" w:hAnsi="仿宋" w:eastAsia="方正小标宋简体" w:cs="Times New Roman"/>
          <w:sz w:val="44"/>
          <w:szCs w:val="44"/>
          <w:shd w:val="clear" w:color="auto" w:fill="FFFFFF"/>
        </w:rPr>
        <w:t>技术创新大赛的通知</w:t>
      </w:r>
    </w:p>
    <w:p>
      <w:pPr>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国科发火〔2022〕182号</w:t>
      </w:r>
    </w:p>
    <w:p>
      <w:pPr>
        <w:spacing w:line="560" w:lineRule="exact"/>
        <w:jc w:val="both"/>
        <w:rPr>
          <w:rFonts w:ascii="仿宋" w:hAnsi="仿宋" w:eastAsia="仿宋" w:cs="宋体"/>
          <w:color w:val="000000"/>
          <w:kern w:val="0"/>
          <w:sz w:val="32"/>
          <w:szCs w:val="32"/>
        </w:rPr>
      </w:pPr>
    </w:p>
    <w:p>
      <w:pPr>
        <w:spacing w:line="560" w:lineRule="exact"/>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各省、自治区、直辖市及计划单列市科技厅（委、局），新疆生产建设兵团科技局，各国家高新技术产</w:t>
      </w:r>
      <w:bookmarkStart w:id="1" w:name="_GoBack"/>
      <w:bookmarkEnd w:id="1"/>
      <w:r>
        <w:rPr>
          <w:rFonts w:hint="eastAsia" w:ascii="仿宋" w:hAnsi="仿宋" w:eastAsia="仿宋" w:cs="宋体"/>
          <w:color w:val="000000"/>
          <w:kern w:val="0"/>
          <w:sz w:val="32"/>
          <w:szCs w:val="32"/>
        </w:rPr>
        <w:t>业开发区管委会，各有关单位：</w:t>
      </w:r>
    </w:p>
    <w:p>
      <w:pPr>
        <w:spacing w:line="560" w:lineRule="exact"/>
        <w:ind w:firstLine="630"/>
        <w:jc w:val="both"/>
        <w:rPr>
          <w:rFonts w:ascii="仿宋" w:hAnsi="仿宋" w:eastAsia="仿宋" w:cs="宋体"/>
          <w:color w:val="000000"/>
          <w:kern w:val="0"/>
          <w:sz w:val="32"/>
          <w:szCs w:val="32"/>
        </w:rPr>
      </w:pPr>
      <w:bookmarkStart w:id="0" w:name="_Hlk109291369"/>
      <w:r>
        <w:rPr>
          <w:rFonts w:hint="eastAsia" w:ascii="仿宋" w:hAnsi="仿宋" w:eastAsia="仿宋" w:cs="宋体"/>
          <w:color w:val="000000"/>
          <w:kern w:val="0"/>
          <w:sz w:val="32"/>
          <w:szCs w:val="32"/>
        </w:rPr>
        <w:t>为全面贯彻党的十九大和十九届历次全会精神，落实中央经济工作会议部署，深入推进颠覆性技术创新工作，加强颠覆性技术供给，培育颠覆性创新文化，建立颠覆性技术“发现—遴选—培育”的新机制，重点发现和挖掘一批颠覆性技术方向，科技部决定举办2022年全国颠覆性技术创新大赛（以下简称“大赛”）。现将有关事项通知如下。</w:t>
      </w:r>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一、指导思想</w:t>
      </w:r>
    </w:p>
    <w:p>
      <w:pPr>
        <w:spacing w:line="560" w:lineRule="exact"/>
        <w:ind w:firstLine="63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以习近平新时代中国特色社会主义思想为指导，深入实施创新驱动发展战略，以强化国家战略科技力量为目标，准确把握全球科技革命和产业变革大趋势，认真研判颠覆性技术创新特点，探索建立颠覆性技术发现和遴选的新机制，挖掘具有战略性、前瞻性、创造性的颠覆性技术方向，推动颠覆性技术创新与突破，在全社会营造颠覆性技术创新的良好生态，带动我国原始创新能力和产业竞争力提升，为我国实现高水平科技自立自强和经济高质量发展提供强大动力引擎。</w:t>
      </w:r>
      <w:bookmarkEnd w:id="0"/>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二、赛事总体安排</w:t>
      </w:r>
    </w:p>
    <w:p>
      <w:pPr>
        <w:spacing w:line="560" w:lineRule="exact"/>
        <w:ind w:firstLine="63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大赛采用“公开海选”和“揭榜挂帅”两种方式，面向社会公开征集具有颠覆性技术苗头的项目参赛，通过层层筛选和项目比拼，择优推荐参赛项目进入科技部颠覆性技术备选库。符合参赛条件的单位统一登录全国颠覆性技术创新大赛官方网站（http://dfxjs.cxcyds.com）报名参赛。同一参赛单位（大专院校除外）需在两种方式中择一参赛，不得重复报名，且仅可报名1个项目参赛。大专院校可同时选择两种参赛方式，且两种参赛方式报名项目总数量不超过3个，但同一项目只能申请一种参赛方式，不得重复报名。比赛不向参赛单位收取任何费用。</w:t>
      </w:r>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三、组织机构</w:t>
      </w:r>
    </w:p>
    <w:p>
      <w:pPr>
        <w:spacing w:line="560" w:lineRule="exact"/>
        <w:ind w:firstLine="630"/>
        <w:jc w:val="both"/>
        <w:rPr>
          <w:rFonts w:hint="eastAsia" w:ascii="楷体" w:hAnsi="楷体" w:eastAsia="楷体" w:cs="宋体"/>
          <w:b/>
          <w:bCs/>
          <w:color w:val="000000"/>
          <w:kern w:val="0"/>
          <w:sz w:val="32"/>
          <w:szCs w:val="32"/>
          <w:lang w:eastAsia="zh-CN"/>
        </w:rPr>
      </w:pPr>
      <w:r>
        <w:rPr>
          <w:rFonts w:hint="eastAsia" w:ascii="楷体" w:hAnsi="楷体" w:eastAsia="楷体" w:cs="宋体"/>
          <w:b/>
          <w:bCs/>
          <w:color w:val="000000"/>
          <w:kern w:val="0"/>
          <w:sz w:val="32"/>
          <w:szCs w:val="32"/>
        </w:rPr>
        <w:t>（一）参与单位。</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主办单位：科技部</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承办单位：科技部火炬高技术产业开发中心</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协办单位：各省、自治区、直辖市及计划单列市科技厅（委、局），新疆生产建设兵团科技局，各国家高新技术产业开发区管委会</w:t>
      </w:r>
    </w:p>
    <w:p>
      <w:pPr>
        <w:spacing w:line="560" w:lineRule="exact"/>
        <w:ind w:firstLine="630"/>
        <w:jc w:val="both"/>
        <w:rPr>
          <w:rFonts w:hint="eastAsia" w:ascii="楷体" w:hAnsi="楷体" w:eastAsia="楷体" w:cs="宋体"/>
          <w:b/>
          <w:bCs/>
          <w:color w:val="000000"/>
          <w:kern w:val="0"/>
          <w:sz w:val="32"/>
          <w:szCs w:val="32"/>
          <w:lang w:eastAsia="zh-CN"/>
        </w:rPr>
      </w:pPr>
      <w:r>
        <w:rPr>
          <w:rFonts w:hint="eastAsia" w:ascii="楷体" w:hAnsi="楷体" w:eastAsia="楷体" w:cs="宋体"/>
          <w:b/>
          <w:bCs/>
          <w:color w:val="000000"/>
          <w:kern w:val="0"/>
          <w:sz w:val="32"/>
          <w:szCs w:val="32"/>
        </w:rPr>
        <w:t>（二）大赛组织委员会。</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大赛主办单位、承办单位、协办单位共同组成大赛组织委员会。组委会办公室设在科技部火炬高技术产业开发中心，负责指导和组织大赛各项具体工作。</w:t>
      </w:r>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四、参赛要求</w:t>
      </w:r>
    </w:p>
    <w:p>
      <w:pPr>
        <w:spacing w:line="560" w:lineRule="exact"/>
        <w:ind w:firstLine="630"/>
        <w:jc w:val="both"/>
        <w:rPr>
          <w:rFonts w:hint="eastAsia" w:ascii="楷体" w:hAnsi="楷体" w:eastAsia="楷体" w:cs="宋体"/>
          <w:b/>
          <w:bCs/>
          <w:color w:val="000000"/>
          <w:kern w:val="0"/>
          <w:sz w:val="32"/>
          <w:szCs w:val="32"/>
          <w:lang w:eastAsia="zh-CN"/>
        </w:rPr>
      </w:pPr>
      <w:r>
        <w:rPr>
          <w:rFonts w:hint="eastAsia" w:ascii="楷体" w:hAnsi="楷体" w:eastAsia="楷体" w:cs="宋体"/>
          <w:b/>
          <w:bCs/>
          <w:color w:val="000000"/>
          <w:kern w:val="0"/>
          <w:sz w:val="32"/>
          <w:szCs w:val="32"/>
        </w:rPr>
        <w:t>（一）参赛单位要求。</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参赛单位应是具有独立法人资格的企事业单位等，经营规范、社会信誉良好、无知识产权纠纷，且具有较强的创新能力和一定的项目实施条件。</w:t>
      </w:r>
    </w:p>
    <w:p>
      <w:pPr>
        <w:spacing w:line="560" w:lineRule="exact"/>
        <w:ind w:firstLine="630"/>
        <w:jc w:val="both"/>
        <w:rPr>
          <w:rFonts w:hint="eastAsia" w:ascii="楷体" w:hAnsi="楷体" w:eastAsia="楷体" w:cs="宋体"/>
          <w:b/>
          <w:bCs/>
          <w:color w:val="000000"/>
          <w:kern w:val="0"/>
          <w:sz w:val="32"/>
          <w:szCs w:val="32"/>
          <w:lang w:eastAsia="zh-CN"/>
        </w:rPr>
      </w:pPr>
      <w:r>
        <w:rPr>
          <w:rFonts w:hint="eastAsia" w:ascii="楷体" w:hAnsi="楷体" w:eastAsia="楷体" w:cs="宋体"/>
          <w:b/>
          <w:bCs/>
          <w:color w:val="000000"/>
          <w:kern w:val="0"/>
          <w:sz w:val="32"/>
          <w:szCs w:val="32"/>
        </w:rPr>
        <w:t>（二）参赛项目要求。</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颠覆性技术是“可改变游戏规则”的创新技术，以创新思维为根本，开辟新型技术发展模式，在发展到一定阶段时，将超越原有技术并产生替代，具有另辟蹊径改变技术轨道的演化曲线和颠覆现况的变革性效果。从技术角度看，是以科学技术的新原理、新组合和新应用为基础，开辟全新技术轨道，产生突破性的创新技术；从产业角度看，应与产业结合紧密，通过形成新工艺、新产品或新模式，利用技术创新带动产业升级换代，改变行业主流产品和市场格局，推动相关产业乃至全球经济的革命性、颠覆性进步。</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大赛聚焦对产业具有颠覆前景的技术项目，参赛单位应参考“颠覆性技术项目遴选判断问题指引”（详见附件1），清晰阐明其技术突破性、产业变革性等。</w:t>
      </w:r>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五、技术方向</w:t>
      </w:r>
    </w:p>
    <w:p>
      <w:pPr>
        <w:spacing w:line="560" w:lineRule="exact"/>
        <w:ind w:firstLine="630"/>
        <w:jc w:val="both"/>
        <w:rPr>
          <w:rFonts w:hint="eastAsia" w:ascii="楷体" w:hAnsi="楷体" w:eastAsia="楷体" w:cs="宋体"/>
          <w:b/>
          <w:bCs/>
          <w:color w:val="000000"/>
          <w:kern w:val="0"/>
          <w:sz w:val="32"/>
          <w:szCs w:val="32"/>
          <w:lang w:eastAsia="zh-CN"/>
        </w:rPr>
      </w:pPr>
      <w:r>
        <w:rPr>
          <w:rFonts w:hint="eastAsia" w:ascii="楷体" w:hAnsi="楷体" w:eastAsia="楷体" w:cs="宋体"/>
          <w:b/>
          <w:bCs/>
          <w:color w:val="000000"/>
          <w:kern w:val="0"/>
          <w:sz w:val="32"/>
          <w:szCs w:val="32"/>
        </w:rPr>
        <w:t>（一）重点领域。</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公开海选重点聚焦集成电路、人工智能、未来网络与通信、生物技术、新材料、绿色技术、高端装备制造、新能源以及交叉学科等可能产生重大颠覆性突破的技术领域。</w:t>
      </w:r>
    </w:p>
    <w:p>
      <w:pPr>
        <w:spacing w:line="560" w:lineRule="exact"/>
        <w:ind w:firstLine="630"/>
        <w:jc w:val="both"/>
        <w:rPr>
          <w:rFonts w:hint="eastAsia" w:ascii="楷体" w:hAnsi="楷体" w:eastAsia="楷体" w:cs="宋体"/>
          <w:b/>
          <w:bCs/>
          <w:color w:val="000000"/>
          <w:kern w:val="0"/>
          <w:sz w:val="32"/>
          <w:szCs w:val="32"/>
          <w:lang w:eastAsia="zh-CN"/>
        </w:rPr>
      </w:pPr>
      <w:r>
        <w:rPr>
          <w:rFonts w:hint="eastAsia" w:ascii="楷体" w:hAnsi="楷体" w:eastAsia="楷体" w:cs="宋体"/>
          <w:b/>
          <w:bCs/>
          <w:color w:val="000000"/>
          <w:kern w:val="0"/>
          <w:sz w:val="32"/>
          <w:szCs w:val="32"/>
        </w:rPr>
        <w:t>（二）需求榜单。</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“揭榜挂帅”需求榜单由大赛组委会在大赛官方网站进行发布，发布时间预计为2022年7月。</w:t>
      </w:r>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六、赛程安排</w:t>
      </w:r>
    </w:p>
    <w:p>
      <w:pPr>
        <w:spacing w:line="560" w:lineRule="exact"/>
        <w:ind w:firstLine="321" w:firstLineChars="100"/>
        <w:jc w:val="both"/>
        <w:rPr>
          <w:rFonts w:hint="eastAsia" w:ascii="仿宋" w:hAnsi="仿宋" w:eastAsia="仿宋" w:cs="宋体"/>
          <w:color w:val="000000"/>
          <w:kern w:val="0"/>
          <w:sz w:val="32"/>
          <w:szCs w:val="32"/>
          <w:lang w:eastAsia="zh-CN"/>
        </w:rPr>
      </w:pPr>
      <w:r>
        <w:rPr>
          <w:rFonts w:hint="eastAsia" w:ascii="楷体" w:hAnsi="楷体" w:eastAsia="楷体" w:cs="宋体"/>
          <w:b/>
          <w:bCs/>
          <w:color w:val="000000"/>
          <w:kern w:val="0"/>
          <w:sz w:val="32"/>
          <w:szCs w:val="32"/>
        </w:rPr>
        <w:t>（一）公开海选。</w:t>
      </w:r>
      <w:r>
        <w:rPr>
          <w:rFonts w:hint="eastAsia" w:ascii="仿宋" w:hAnsi="仿宋" w:eastAsia="仿宋" w:cs="宋体"/>
          <w:color w:val="000000"/>
          <w:kern w:val="0"/>
          <w:sz w:val="32"/>
          <w:szCs w:val="32"/>
        </w:rPr>
        <w:t>由自主报名、审查推荐、项目初筛、领域赛和总决赛等五个环节组成。</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自主报名。各单位根据本通知相关要求，通过大赛官方网站进行统一注册报名，并向所属地区省级科技行政管理部门或国家高新技术产业开发区管委会提交完整报名材料，同时承诺对填报信息的准确、真实、合法、有效性负责。</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报名截止时间为2022年8月15日。</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2.审查推荐。由各地区省级科技行政管理部门和各国家高新技术产业开发区管委会负责，对本地区或辖区范围内报名参赛项目，按照合规性审查标准进行审查（详见附件2），确定审查合格项目名单报大赛组委会办公室。</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报送审查合格项目名单的截止时间为2022年8月31日。</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3.项目初筛。由大赛组委会办公室组织相关专家，采用全方位评议模式，对各地方审查合格项目进行初步筛选，确定进入各领域赛的项目名单。</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项目初筛时间为2022年9月。</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4.领域赛。由大赛组委会办公室联合各有关地区省级科技行政管理部门或国家高新技术产业开发区管委会共同组织若干场领域赛，参考“海尔迈耶（Heilmeier）问题”，采取项目路演、封闭式陈述、答辩等方式，遴选出各领域优胜项目，择优晋级总决赛。</w:t>
      </w:r>
    </w:p>
    <w:p>
      <w:pPr>
        <w:spacing w:line="560" w:lineRule="exact"/>
        <w:ind w:firstLine="63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  领域赛举办时间为2022年10月至11月。</w:t>
      </w:r>
    </w:p>
    <w:p>
      <w:pPr>
        <w:spacing w:line="560" w:lineRule="exact"/>
        <w:ind w:firstLine="63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总决赛。由大赛组委会办公室联合各有关地区省级科技行政管理部门或国家高新技术产业开发区管委会共同组织，采取项目路演、封闭式陈述、答辩等方式，遴选出总决赛优胜项目，推荐进入科技部颠覆性技术备选库。</w:t>
      </w:r>
    </w:p>
    <w:p>
      <w:pPr>
        <w:numPr>
          <w:ilvl w:val="0"/>
          <w:numId w:val="0"/>
        </w:num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总决赛举办时间为2022年11月至12月。</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楷体" w:hAnsi="楷体" w:eastAsia="楷体" w:cs="宋体"/>
          <w:b/>
          <w:bCs/>
          <w:color w:val="000000"/>
          <w:kern w:val="0"/>
          <w:sz w:val="32"/>
          <w:szCs w:val="32"/>
        </w:rPr>
        <w:t>（二）揭榜挂帅。</w:t>
      </w:r>
      <w:r>
        <w:rPr>
          <w:rFonts w:hint="eastAsia" w:ascii="仿宋" w:hAnsi="仿宋" w:eastAsia="仿宋" w:cs="宋体"/>
          <w:color w:val="000000"/>
          <w:kern w:val="0"/>
          <w:sz w:val="32"/>
          <w:szCs w:val="32"/>
        </w:rPr>
        <w:t>由榜单发布、重点推荐、项目初筛、现场比拼等四个环节组成。</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1.榜单发布。由大赛组委会办公室在大赛官方网站进行发布。</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榜单发布时间预计为2022年7月。</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2.重点推荐。各地区省级科技行政管理部门和各国家高新技术产业开发区管委会围绕地方优势产业，结合榜单需求，高效、精准深入企业、创新孵化机构等发现颠覆性技术苗头，重点挖掘和组织推荐，并对项目进行合规性审查，确定审查合格项目名单报大赛组委会办公室。</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审查合格项目名单报送截止时间为2022年8月31日。</w:t>
      </w:r>
    </w:p>
    <w:p>
      <w:pPr>
        <w:numPr>
          <w:ilvl w:val="0"/>
          <w:numId w:val="0"/>
        </w:numPr>
        <w:spacing w:line="560" w:lineRule="exact"/>
        <w:ind w:firstLine="640" w:firstLineChars="200"/>
        <w:jc w:val="both"/>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项目初筛。由大赛组委会办公室组织相关专家，采用全方位评议模式，对各地方审查合格项目进行初步筛选，确定进入现场比拼的项目名单。</w:t>
      </w:r>
    </w:p>
    <w:p>
      <w:pPr>
        <w:numPr>
          <w:ilvl w:val="0"/>
          <w:numId w:val="0"/>
        </w:num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项目初筛时间为2022年9月。</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4.现场比拼。由大赛组委会办公室联合各有关地区省级科技行政管理部门或国家高新技术产业开发区管委会共同组织，以现场比拼方式决出优胜者并择优推荐进入科技部颠覆性技术备选库。</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现场比拼举办时间为2022年10月至12月。</w:t>
      </w:r>
    </w:p>
    <w:p>
      <w:pPr>
        <w:spacing w:line="560" w:lineRule="exact"/>
        <w:ind w:firstLine="63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七、工作要求</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一）请各地区省级科技行政管理部门和国家高新技术产业开发区管委会积极宣传并广泛动员，深入挖掘和组织具有颠覆性技术苗头的项目参加比赛，为参赛项目提供相关政策支持和增值服务，建立完善长期跟踪和服务机制。</w:t>
      </w:r>
    </w:p>
    <w:p>
      <w:pPr>
        <w:spacing w:line="560" w:lineRule="exact"/>
        <w:ind w:firstLine="63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二）各地区省级科技行政管理部门和国家高新技术产业开发区管委会要认真履行组织审查和推荐职责，严格对照“合规性审查标准”，对本地区或辖区范围内报名参赛项目进行信息完整性、合规性审查，确保项目信息符合填报要求，并围绕地方优势产业，推荐有颠覆性技术苗头的项目上报大赛组委会办公室。在赛事举办过程中，如发现参赛项目信息存在不真实、不完整、不合规等情况，大赛组委会办公室有权终止该项目继续参赛，如同一地区终止参赛项目数量较多，大赛组委会办公室将视情况暂停或终止该地区项目组织、推荐权力，并责成相关管理部门进行整改。</w:t>
      </w:r>
    </w:p>
    <w:p>
      <w:pPr>
        <w:spacing w:line="560" w:lineRule="exact"/>
        <w:ind w:firstLine="63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三）请各地区省级科技行政管理部门和国家高新技术产业开发区管委会及时更新已推荐专家信息，并可继续组织推荐在颠覆性技术发现和识别等方面具有研究基础的战略专家、行业专家、金融投资专家、技术专家等进入大赛专家备选库。专家信息更新和推荐截止时间为2022年8月31日。</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（四）各地区省级科技行政管理部门负责组织对本地区晋级总决赛的项目开展尽职调查。</w:t>
      </w:r>
    </w:p>
    <w:p>
      <w:pPr>
        <w:spacing w:line="560" w:lineRule="exact"/>
        <w:ind w:firstLine="640" w:firstLineChars="200"/>
        <w:jc w:val="both"/>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八、服务政策</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大赛将根据具体情况为优胜企业提供以下服务：</w:t>
      </w:r>
    </w:p>
    <w:p>
      <w:pPr>
        <w:spacing w:line="560" w:lineRule="exact"/>
        <w:ind w:firstLine="643" w:firstLineChars="200"/>
        <w:jc w:val="both"/>
        <w:rPr>
          <w:rFonts w:hint="eastAsia" w:ascii="仿宋" w:hAnsi="仿宋" w:eastAsia="仿宋" w:cs="宋体"/>
          <w:color w:val="000000"/>
          <w:kern w:val="0"/>
          <w:sz w:val="32"/>
          <w:szCs w:val="32"/>
          <w:lang w:eastAsia="zh-CN"/>
        </w:rPr>
      </w:pPr>
      <w:r>
        <w:rPr>
          <w:rFonts w:hint="eastAsia" w:ascii="楷体" w:hAnsi="楷体" w:eastAsia="楷体" w:cs="宋体"/>
          <w:b/>
          <w:bCs/>
          <w:color w:val="000000"/>
          <w:kern w:val="0"/>
          <w:sz w:val="32"/>
          <w:szCs w:val="32"/>
        </w:rPr>
        <w:t>（一）宣传展示。</w:t>
      </w:r>
      <w:r>
        <w:rPr>
          <w:rFonts w:hint="eastAsia" w:ascii="仿宋" w:hAnsi="仿宋" w:eastAsia="仿宋" w:cs="宋体"/>
          <w:color w:val="000000"/>
          <w:kern w:val="0"/>
          <w:sz w:val="32"/>
          <w:szCs w:val="32"/>
        </w:rPr>
        <w:t>通过现场布展、媒体报道等方式对项目进行展览展示、宣传推介。</w:t>
      </w:r>
    </w:p>
    <w:p>
      <w:pPr>
        <w:spacing w:line="560" w:lineRule="exact"/>
        <w:ind w:firstLine="643" w:firstLineChars="200"/>
        <w:jc w:val="both"/>
        <w:rPr>
          <w:rFonts w:hint="eastAsia" w:ascii="仿宋" w:hAnsi="仿宋" w:eastAsia="仿宋" w:cs="宋体"/>
          <w:color w:val="000000"/>
          <w:kern w:val="0"/>
          <w:sz w:val="32"/>
          <w:szCs w:val="32"/>
          <w:lang w:eastAsia="zh-CN"/>
        </w:rPr>
      </w:pPr>
      <w:r>
        <w:rPr>
          <w:rFonts w:hint="eastAsia" w:ascii="楷体" w:hAnsi="楷体" w:eastAsia="楷体" w:cs="宋体"/>
          <w:b/>
          <w:bCs/>
          <w:color w:val="000000"/>
          <w:kern w:val="0"/>
          <w:sz w:val="32"/>
          <w:szCs w:val="32"/>
        </w:rPr>
        <w:t>（二）择优推荐。</w:t>
      </w:r>
      <w:r>
        <w:rPr>
          <w:rFonts w:hint="eastAsia" w:ascii="仿宋" w:hAnsi="仿宋" w:eastAsia="仿宋" w:cs="宋体"/>
          <w:color w:val="000000"/>
          <w:kern w:val="0"/>
          <w:sz w:val="32"/>
          <w:szCs w:val="32"/>
        </w:rPr>
        <w:t>建立颠覆性技术大赛项目库，择优推荐进入科技部颠覆性技术备选库。</w:t>
      </w:r>
    </w:p>
    <w:p>
      <w:pPr>
        <w:spacing w:line="560" w:lineRule="exact"/>
        <w:ind w:firstLine="643" w:firstLineChars="200"/>
        <w:jc w:val="both"/>
        <w:rPr>
          <w:rFonts w:hint="eastAsia" w:ascii="仿宋" w:hAnsi="仿宋" w:eastAsia="仿宋" w:cs="宋体"/>
          <w:color w:val="000000"/>
          <w:kern w:val="0"/>
          <w:sz w:val="32"/>
          <w:szCs w:val="32"/>
          <w:lang w:eastAsia="zh-CN"/>
        </w:rPr>
      </w:pPr>
      <w:r>
        <w:rPr>
          <w:rFonts w:hint="eastAsia" w:ascii="楷体" w:hAnsi="楷体" w:eastAsia="楷体" w:cs="宋体"/>
          <w:b/>
          <w:bCs/>
          <w:color w:val="000000"/>
          <w:kern w:val="0"/>
          <w:sz w:val="32"/>
          <w:szCs w:val="32"/>
        </w:rPr>
        <w:t>（三）深度孵化。</w:t>
      </w:r>
      <w:r>
        <w:rPr>
          <w:rFonts w:hint="eastAsia" w:ascii="仿宋" w:hAnsi="仿宋" w:eastAsia="仿宋" w:cs="宋体"/>
          <w:color w:val="000000"/>
          <w:kern w:val="0"/>
          <w:sz w:val="32"/>
          <w:szCs w:val="32"/>
        </w:rPr>
        <w:t>协助对接产业顶层战略机构、创业投资机构、商业银行等创新资源，建立全生命周期服务体系，推动开展系统的深度孵化服务。</w:t>
      </w:r>
    </w:p>
    <w:p>
      <w:pPr>
        <w:spacing w:line="560" w:lineRule="exact"/>
        <w:ind w:firstLine="643" w:firstLineChars="200"/>
        <w:jc w:val="both"/>
        <w:rPr>
          <w:rFonts w:hint="eastAsia" w:ascii="仿宋" w:hAnsi="仿宋" w:eastAsia="仿宋" w:cs="宋体"/>
          <w:color w:val="000000"/>
          <w:kern w:val="0"/>
          <w:sz w:val="32"/>
          <w:szCs w:val="32"/>
        </w:rPr>
      </w:pPr>
      <w:r>
        <w:rPr>
          <w:rFonts w:hint="eastAsia" w:ascii="楷体" w:hAnsi="楷体" w:eastAsia="楷体" w:cs="宋体"/>
          <w:b/>
          <w:bCs/>
          <w:color w:val="000000"/>
          <w:kern w:val="0"/>
          <w:sz w:val="32"/>
          <w:szCs w:val="32"/>
        </w:rPr>
        <w:t>（四）成果转化。</w:t>
      </w:r>
      <w:r>
        <w:rPr>
          <w:rFonts w:hint="eastAsia" w:ascii="仿宋" w:hAnsi="仿宋" w:eastAsia="仿宋" w:cs="宋体"/>
          <w:color w:val="000000"/>
          <w:kern w:val="0"/>
          <w:sz w:val="32"/>
          <w:szCs w:val="32"/>
        </w:rPr>
        <w:t>协助寻找产业化场地、产品市场、产业化资金、产业战略合作伙伴等资源，助力迅速开展成果转移转化，并做大做强，推动形成颠覆性技术产业。</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联 系 人：科技部火炬中心  尉佳、贺玥</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电    话：010-88656211、010-88656219</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传    真：010-88656219</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电子邮箱：zuzh1@chinatorch.gov.cn</w:t>
      </w: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技术支持：010-88656315、010-88656375</w:t>
      </w:r>
    </w:p>
    <w:p>
      <w:pPr>
        <w:spacing w:line="560" w:lineRule="exact"/>
        <w:ind w:firstLine="640" w:firstLineChars="200"/>
        <w:jc w:val="both"/>
        <w:rPr>
          <w:rFonts w:hint="eastAsia" w:ascii="仿宋" w:hAnsi="仿宋" w:eastAsia="仿宋" w:cs="宋体"/>
          <w:color w:val="000000"/>
          <w:kern w:val="0"/>
          <w:sz w:val="32"/>
          <w:szCs w:val="32"/>
          <w:lang w:eastAsia="zh-CN"/>
        </w:rPr>
      </w:pPr>
    </w:p>
    <w:p>
      <w:pPr>
        <w:spacing w:line="560" w:lineRule="exact"/>
        <w:ind w:firstLine="640" w:firstLineChars="200"/>
        <w:jc w:val="both"/>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附件：1—1.</w:t>
      </w:r>
      <w:r>
        <w:rPr>
          <w:rFonts w:hint="eastAsia" w:ascii="仿宋" w:hAnsi="仿宋" w:eastAsia="仿宋" w:cs="Times New Roman"/>
          <w:color w:val="000000"/>
          <w:sz w:val="32"/>
          <w:szCs w:val="32"/>
        </w:rPr>
        <w:t>颠覆性技术项目遴选判断问题指引</w:t>
      </w:r>
      <w:r>
        <w:rPr>
          <w:rFonts w:hint="eastAsia" w:ascii="仿宋" w:hAnsi="仿宋" w:eastAsia="仿宋" w:cs="宋体"/>
          <w:color w:val="000000"/>
          <w:kern w:val="0"/>
          <w:sz w:val="32"/>
          <w:szCs w:val="32"/>
        </w:rPr>
        <w:t>      </w:t>
      </w:r>
    </w:p>
    <w:p>
      <w:pPr>
        <w:spacing w:line="560" w:lineRule="exact"/>
        <w:ind w:firstLine="640" w:firstLineChars="200"/>
        <w:jc w:val="both"/>
        <w:rPr>
          <w:rFonts w:ascii="仿宋" w:hAnsi="仿宋" w:eastAsia="仿宋" w:cs="宋体"/>
          <w:color w:val="000000"/>
          <w:kern w:val="0"/>
          <w:sz w:val="32"/>
          <w:szCs w:val="32"/>
        </w:rPr>
      </w:pPr>
      <w:r>
        <w:rPr>
          <w:rFonts w:ascii="仿宋" w:hAnsi="仿宋" w:eastAsia="仿宋" w:cs="宋体"/>
          <w:color w:val="000000"/>
          <w:kern w:val="0"/>
          <w:sz w:val="32"/>
          <w:szCs w:val="32"/>
        </w:rPr>
        <w:t xml:space="preserve">      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.全国颠覆性技术创新大赛项目合规性审查标准</w:t>
      </w:r>
    </w:p>
    <w:p>
      <w:pPr>
        <w:spacing w:line="560" w:lineRule="exact"/>
        <w:ind w:firstLine="640" w:firstLineChars="200"/>
        <w:jc w:val="both"/>
        <w:rPr>
          <w:rFonts w:ascii="仿宋" w:hAnsi="仿宋" w:eastAsia="仿宋" w:cs="宋体"/>
          <w:color w:val="000000"/>
          <w:kern w:val="0"/>
          <w:sz w:val="32"/>
          <w:szCs w:val="32"/>
        </w:rPr>
      </w:pPr>
    </w:p>
    <w:p>
      <w:pPr>
        <w:spacing w:line="560" w:lineRule="exact"/>
        <w:ind w:left="5120" w:hanging="5120" w:hangingChars="16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科 技 部      2022年6月29日</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（此件主动公开）</w:t>
      </w:r>
    </w:p>
    <w:p>
      <w:pPr>
        <w:spacing w:line="560" w:lineRule="exact"/>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附件1—1</w:t>
      </w:r>
    </w:p>
    <w:p>
      <w:pPr>
        <w:spacing w:line="560" w:lineRule="exact"/>
        <w:jc w:val="both"/>
        <w:rPr>
          <w:rFonts w:ascii="黑体" w:hAnsi="黑体" w:eastAsia="黑体" w:cs="宋体"/>
          <w:color w:val="000000"/>
          <w:kern w:val="0"/>
          <w:sz w:val="32"/>
          <w:szCs w:val="32"/>
        </w:rPr>
      </w:pPr>
    </w:p>
    <w:p>
      <w:pPr>
        <w:spacing w:line="560" w:lineRule="exact"/>
        <w:jc w:val="both"/>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颠覆性技术项目遴选判断问题指引</w:t>
      </w:r>
    </w:p>
    <w:p>
      <w:pPr>
        <w:spacing w:line="560" w:lineRule="exact"/>
        <w:ind w:firstLine="640" w:firstLineChars="200"/>
        <w:jc w:val="both"/>
        <w:rPr>
          <w:rFonts w:ascii="黑体" w:hAnsi="黑体" w:eastAsia="黑体" w:cs="宋体"/>
          <w:color w:val="000000"/>
          <w:kern w:val="0"/>
          <w:sz w:val="32"/>
          <w:szCs w:val="32"/>
        </w:rPr>
      </w:pPr>
    </w:p>
    <w:p>
      <w:pPr>
        <w:spacing w:line="560" w:lineRule="exact"/>
        <w:ind w:firstLine="640" w:firstLineChars="20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一、判断是不是</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1.项目团队想做什么，用通俗的语言如何清楚地阐述目标？</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2.现在普遍应用的技术是什么？其局限性是什么？项目采用的方法有什么新意？对现有技术的替代性如何？</w:t>
      </w:r>
    </w:p>
    <w:p>
      <w:pPr>
        <w:spacing w:line="560" w:lineRule="exact"/>
        <w:ind w:firstLine="640" w:firstLineChars="20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二、判断可能性</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3.这项研究的风险和回报是什么？为什么认为该方法会成功?</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4.研究的时间周期和成本怎么样？</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5.是否能通过中期检查和结题检查评价项目的成败？项目会有哪些阶段性进展？如何衡量？</w:t>
      </w:r>
    </w:p>
    <w:p>
      <w:pPr>
        <w:spacing w:line="560" w:lineRule="exact"/>
        <w:ind w:firstLine="640" w:firstLineChars="20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三、判断影响力</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6.谁会关心此研究？如果成功了，产品或市场会有什么改变？影响是什么？如何度量？</w:t>
      </w:r>
    </w:p>
    <w:p>
      <w:pPr>
        <w:spacing w:line="560" w:lineRule="exact"/>
        <w:ind w:firstLine="640" w:firstLineChars="200"/>
        <w:jc w:val="both"/>
        <w:rPr>
          <w:rFonts w:ascii="仿宋" w:hAnsi="仿宋" w:eastAsia="仿宋" w:cs="Times New Roman"/>
          <w:sz w:val="32"/>
          <w:szCs w:val="32"/>
        </w:rPr>
      </w:pPr>
    </w:p>
    <w:p>
      <w:pPr>
        <w:spacing w:line="560" w:lineRule="exact"/>
        <w:ind w:firstLine="640" w:firstLineChars="200"/>
        <w:jc w:val="both"/>
        <w:rPr>
          <w:rFonts w:ascii="仿宋" w:hAnsi="仿宋" w:eastAsia="仿宋" w:cs="Times New Roman"/>
          <w:sz w:val="32"/>
          <w:szCs w:val="32"/>
        </w:rPr>
      </w:pPr>
    </w:p>
    <w:p>
      <w:pPr>
        <w:spacing w:line="560" w:lineRule="exact"/>
        <w:jc w:val="both"/>
        <w:rPr>
          <w:rFonts w:ascii="仿宋" w:hAnsi="仿宋" w:eastAsia="仿宋" w:cs="宋体"/>
          <w:color w:val="000000"/>
          <w:kern w:val="0"/>
          <w:sz w:val="32"/>
          <w:szCs w:val="32"/>
        </w:rPr>
      </w:pPr>
    </w:p>
    <w:p>
      <w:pPr>
        <w:spacing w:line="560" w:lineRule="exact"/>
        <w:jc w:val="both"/>
        <w:rPr>
          <w:rFonts w:ascii="仿宋" w:hAnsi="仿宋" w:eastAsia="仿宋" w:cs="宋体"/>
          <w:color w:val="000000"/>
          <w:kern w:val="0"/>
          <w:sz w:val="32"/>
          <w:szCs w:val="32"/>
        </w:rPr>
      </w:pPr>
    </w:p>
    <w:p>
      <w:pPr>
        <w:spacing w:line="560" w:lineRule="exact"/>
        <w:jc w:val="both"/>
        <w:rPr>
          <w:rFonts w:ascii="仿宋" w:hAnsi="仿宋" w:eastAsia="仿宋" w:cs="宋体"/>
          <w:color w:val="000000"/>
          <w:kern w:val="0"/>
          <w:sz w:val="32"/>
          <w:szCs w:val="32"/>
        </w:rPr>
      </w:pPr>
    </w:p>
    <w:p>
      <w:pPr>
        <w:widowControl/>
        <w:jc w:val="both"/>
        <w:rPr>
          <w:rFonts w:ascii="黑体" w:hAnsi="黑体" w:eastAsia="黑体" w:cs="宋体"/>
          <w:color w:val="000000"/>
          <w:kern w:val="0"/>
          <w:sz w:val="32"/>
          <w:szCs w:val="32"/>
        </w:rPr>
      </w:pPr>
      <w:r>
        <w:rPr>
          <w:rFonts w:ascii="黑体" w:hAnsi="黑体" w:eastAsia="黑体" w:cs="宋体"/>
          <w:color w:val="000000"/>
          <w:kern w:val="0"/>
          <w:sz w:val="32"/>
          <w:szCs w:val="32"/>
        </w:rPr>
        <w:br w:type="page"/>
      </w:r>
    </w:p>
    <w:p>
      <w:pPr>
        <w:spacing w:line="560" w:lineRule="exact"/>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附件1—2</w:t>
      </w:r>
    </w:p>
    <w:p>
      <w:pPr>
        <w:spacing w:line="560" w:lineRule="exact"/>
        <w:jc w:val="both"/>
        <w:rPr>
          <w:rFonts w:ascii="黑体" w:hAnsi="黑体" w:eastAsia="黑体" w:cs="宋体"/>
          <w:color w:val="000000"/>
          <w:kern w:val="0"/>
          <w:sz w:val="32"/>
          <w:szCs w:val="32"/>
        </w:rPr>
      </w:pPr>
    </w:p>
    <w:p>
      <w:pPr>
        <w:spacing w:line="560" w:lineRule="exact"/>
        <w:jc w:val="both"/>
        <w:rPr>
          <w:rFonts w:ascii="方正小标宋简体" w:hAnsi="仿宋" w:eastAsia="方正小标宋简体" w:cs="宋体"/>
          <w:color w:val="000000"/>
          <w:kern w:val="0"/>
          <w:sz w:val="44"/>
          <w:szCs w:val="44"/>
        </w:rPr>
      </w:pPr>
      <w:r>
        <w:rPr>
          <w:rFonts w:hint="eastAsia" w:ascii="方正小标宋简体" w:hAnsi="仿宋" w:eastAsia="方正小标宋简体" w:cs="宋体"/>
          <w:color w:val="000000"/>
          <w:kern w:val="0"/>
          <w:sz w:val="44"/>
          <w:szCs w:val="44"/>
        </w:rPr>
        <w:t>全国颠覆性技术创新大赛项目合规性审查标准</w:t>
      </w:r>
    </w:p>
    <w:p>
      <w:pPr>
        <w:spacing w:line="560" w:lineRule="exact"/>
        <w:ind w:firstLine="640" w:firstLineChars="200"/>
        <w:jc w:val="both"/>
        <w:rPr>
          <w:rFonts w:ascii="黑体" w:hAnsi="黑体" w:eastAsia="黑体" w:cs="宋体"/>
          <w:color w:val="000000"/>
          <w:kern w:val="0"/>
          <w:sz w:val="32"/>
          <w:szCs w:val="32"/>
        </w:rPr>
      </w:pPr>
    </w:p>
    <w:p>
      <w:pPr>
        <w:spacing w:line="560" w:lineRule="exact"/>
        <w:ind w:firstLine="640" w:firstLineChars="20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一、参赛单位及项目是否符合要求</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参赛单位及项目在符合《通知》中有关要求的前提下，重点审查以下几方面要求。</w:t>
      </w:r>
    </w:p>
    <w:p>
      <w:pPr>
        <w:spacing w:line="560" w:lineRule="exact"/>
        <w:ind w:firstLine="643" w:firstLineChars="200"/>
        <w:jc w:val="both"/>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（一）参赛单位要求。</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1.参赛单位应是具有独立法人资格的企事业单位等，不接受个人或团体形式参赛；</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2.参赛单位依法存在并继续正常营业，且经营规范、社会信誉良好、无知识产权纠纷；</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3.参赛单位应具有较强的创新能力和一定的研究工作基础：要求填报的资料“第三步”中“九、研究工作基础”，“参赛单位在该研究方向的前期任务承担情况”“参赛单位相关科研条件支撑状况”两项不能同时为“无”或无实质性内容。</w:t>
      </w:r>
    </w:p>
    <w:p>
      <w:pPr>
        <w:spacing w:line="560" w:lineRule="exact"/>
        <w:ind w:firstLine="643" w:firstLineChars="200"/>
        <w:jc w:val="both"/>
        <w:rPr>
          <w:rFonts w:ascii="楷体" w:hAnsi="楷体" w:eastAsia="楷体" w:cs="宋体"/>
          <w:b/>
          <w:bCs/>
          <w:color w:val="000000"/>
          <w:kern w:val="0"/>
          <w:sz w:val="32"/>
          <w:szCs w:val="32"/>
        </w:rPr>
      </w:pPr>
      <w:r>
        <w:rPr>
          <w:rFonts w:hint="eastAsia" w:ascii="楷体" w:hAnsi="楷体" w:eastAsia="楷体" w:cs="宋体"/>
          <w:b/>
          <w:bCs/>
          <w:color w:val="000000"/>
          <w:kern w:val="0"/>
          <w:sz w:val="32"/>
          <w:szCs w:val="32"/>
        </w:rPr>
        <w:t>（二）参赛项目要求。</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1.参赛项目所研究的技术应属于技术重大创新与突破、技术的创新组合或技术的颠覆性应用中的某一类；</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2.参赛项目应清晰阐明其研究目标，包括项目所采用的</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关键技术、拟解决的产业关键问题、将取代的现有技术情况等；</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3.参赛项目应清晰阐明其技术优势或如何取代现有技术情况。</w:t>
      </w:r>
    </w:p>
    <w:p>
      <w:pPr>
        <w:spacing w:line="560" w:lineRule="exact"/>
        <w:ind w:firstLine="640" w:firstLineChars="20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二、项目报名信息与实际信息应保持一致</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要求填报的资料“第一步”中按实际情况填报是否为高新技术企业、备案的科技型中小企业，是否为上市企业。</w:t>
      </w:r>
    </w:p>
    <w:p>
      <w:pPr>
        <w:spacing w:line="560" w:lineRule="exact"/>
        <w:ind w:firstLine="640" w:firstLineChars="200"/>
        <w:jc w:val="both"/>
        <w:rPr>
          <w:rFonts w:ascii="黑体" w:hAnsi="黑体" w:eastAsia="黑体" w:cs="宋体"/>
          <w:color w:val="000000"/>
          <w:kern w:val="0"/>
          <w:sz w:val="32"/>
          <w:szCs w:val="32"/>
        </w:rPr>
      </w:pPr>
      <w:r>
        <w:rPr>
          <w:rFonts w:hint="eastAsia" w:ascii="黑体" w:hAnsi="黑体" w:eastAsia="黑体" w:cs="宋体"/>
          <w:color w:val="000000"/>
          <w:kern w:val="0"/>
          <w:sz w:val="32"/>
          <w:szCs w:val="32"/>
        </w:rPr>
        <w:t>三、项目报名资料是否完整，填报、上传的资料应符合相关要求</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一）要求填报的资料中标有“*”的栏目为必填内容，其中，“一、基本情况”栏目应按实际情况填写；“二、研究目标、关键技术和拟解决的产业关键问题”“三、现有技术在产业的应用现状及其局限性”“四、本技术对现有技术的替代性”“五、本颠覆性技术对有关产业的颠覆要点”“六、项目研究内容、研究方法及技术路线”“七、项目风险分析及对策”“八、本技术的影响力”“九、研究工作基础”“十、项目负责人及核心成员研究背景”“十一、进度安排”等栏目不得填报“无”；“十三、项目目标、成果与考核指标表”栏目中“完成时指标值/状态”不得填报“无”。</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（二）填报的内容与填报要求应一致，较为明确地回答相关问题，上述不得填报“无”的栏目填写的内容不得少于20字。 </w:t>
      </w:r>
    </w:p>
    <w:p>
      <w:pPr>
        <w:spacing w:line="560" w:lineRule="exact"/>
        <w:ind w:firstLine="640" w:firstLineChars="200"/>
        <w:jc w:val="both"/>
        <w:rPr>
          <w:rFonts w:ascii="仿宋" w:hAnsi="仿宋" w:eastAsia="仿宋" w:cs="宋体"/>
          <w:color w:val="000000"/>
          <w:kern w:val="0"/>
          <w:sz w:val="32"/>
          <w:szCs w:val="32"/>
        </w:rPr>
      </w:pPr>
      <w:r>
        <w:rPr>
          <w:rFonts w:hint="eastAsia" w:ascii="仿宋" w:hAnsi="仿宋" w:eastAsia="仿宋" w:cs="宋体"/>
          <w:color w:val="000000"/>
          <w:kern w:val="0"/>
          <w:sz w:val="32"/>
          <w:szCs w:val="32"/>
        </w:rPr>
        <w:t>（三）要求填报的资料“第四步”中“签字并盖企业公章《承诺书》文件”，参赛单位按要求上传承诺书签字并盖章，签章与参赛单位、项目负责人一致。</w:t>
      </w:r>
    </w:p>
    <w:p>
      <w:pPr>
        <w:widowControl/>
        <w:jc w:val="both"/>
        <w:rPr>
          <w:rFonts w:ascii="黑体" w:hAnsi="黑体" w:eastAsia="黑体" w:cs="华文仿宋"/>
          <w:color w:val="222222"/>
          <w:sz w:val="32"/>
          <w:szCs w:val="32"/>
        </w:rPr>
      </w:pPr>
      <w:r>
        <w:rPr>
          <w:rFonts w:ascii="黑体" w:hAnsi="黑体" w:eastAsia="黑体" w:cs="华文仿宋"/>
          <w:color w:val="222222"/>
          <w:sz w:val="32"/>
          <w:szCs w:val="32"/>
        </w:rPr>
        <w:br w:type="page"/>
      </w:r>
    </w:p>
    <w:p>
      <w:pPr>
        <w:spacing w:line="600" w:lineRule="exact"/>
        <w:jc w:val="both"/>
        <w:rPr>
          <w:rFonts w:ascii="黑体" w:hAnsi="黑体" w:eastAsia="黑体" w:cs="华文仿宋"/>
          <w:color w:val="222222"/>
          <w:sz w:val="32"/>
          <w:szCs w:val="32"/>
        </w:rPr>
      </w:pPr>
      <w:r>
        <w:rPr>
          <w:rFonts w:hint="eastAsia" w:ascii="黑体" w:hAnsi="黑体" w:eastAsia="黑体" w:cs="华文仿宋"/>
          <w:color w:val="222222"/>
          <w:sz w:val="32"/>
          <w:szCs w:val="32"/>
        </w:rPr>
        <w:t>附件2</w:t>
      </w:r>
    </w:p>
    <w:p>
      <w:pPr>
        <w:spacing w:line="600" w:lineRule="exact"/>
        <w:jc w:val="both"/>
        <w:rPr>
          <w:rFonts w:ascii="方正仿宋_GBK" w:hAnsi="华文仿宋" w:eastAsia="方正仿宋_GBK" w:cs="华文仿宋"/>
          <w:color w:val="222222"/>
          <w:sz w:val="32"/>
          <w:szCs w:val="32"/>
        </w:rPr>
      </w:pPr>
    </w:p>
    <w:p>
      <w:pPr>
        <w:spacing w:line="600" w:lineRule="exact"/>
        <w:jc w:val="both"/>
        <w:rPr>
          <w:rFonts w:ascii="方正小标宋_GBK" w:hAnsi="华文仿宋" w:eastAsia="方正小标宋_GBK" w:cs="华文仿宋"/>
          <w:color w:val="222222"/>
          <w:sz w:val="42"/>
          <w:szCs w:val="42"/>
        </w:rPr>
      </w:pPr>
      <w:r>
        <w:rPr>
          <w:rFonts w:hint="eastAsia" w:ascii="方正小标宋_GBK" w:hAnsi="华文仿宋" w:eastAsia="方正小标宋_GBK" w:cs="华文仿宋"/>
          <w:color w:val="222222"/>
          <w:sz w:val="42"/>
          <w:szCs w:val="42"/>
        </w:rPr>
        <w:t>2022年全国颠覆性技术创新大赛“揭榜挂帅”榜单需求</w:t>
      </w:r>
    </w:p>
    <w:p>
      <w:pPr>
        <w:spacing w:line="600" w:lineRule="exact"/>
        <w:jc w:val="both"/>
        <w:rPr>
          <w:rFonts w:ascii="方正仿宋_GBK" w:hAnsi="华文仿宋" w:eastAsia="方正仿宋_GBK" w:cs="华文仿宋"/>
          <w:color w:val="222222"/>
          <w:sz w:val="32"/>
          <w:szCs w:val="32"/>
        </w:rPr>
      </w:pPr>
    </w:p>
    <w:tbl>
      <w:tblPr>
        <w:tblStyle w:val="5"/>
        <w:tblW w:w="0" w:type="auto"/>
        <w:tblInd w:w="96" w:type="dxa"/>
        <w:tblLayout w:type="autofit"/>
        <w:tblCellMar>
          <w:top w:w="0" w:type="dxa"/>
          <w:left w:w="108" w:type="dxa"/>
          <w:bottom w:w="0" w:type="dxa"/>
          <w:right w:w="108" w:type="dxa"/>
        </w:tblCellMar>
      </w:tblPr>
      <w:tblGrid>
        <w:gridCol w:w="1572"/>
        <w:gridCol w:w="1842"/>
        <w:gridCol w:w="5012"/>
      </w:tblGrid>
      <w:tr>
        <w:tblPrEx>
          <w:tblCellMar>
            <w:top w:w="0" w:type="dxa"/>
            <w:left w:w="108" w:type="dxa"/>
            <w:bottom w:w="0" w:type="dxa"/>
            <w:right w:w="108" w:type="dxa"/>
          </w:tblCellMar>
        </w:tblPrEx>
        <w:trPr>
          <w:trHeight w:val="781" w:hRule="atLeast"/>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领域范围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颠覆性技术方向</w:t>
            </w:r>
          </w:p>
        </w:tc>
        <w:tc>
          <w:tcPr>
            <w:tcW w:w="501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需求描述</w:t>
            </w:r>
          </w:p>
        </w:tc>
      </w:tr>
      <w:tr>
        <w:tblPrEx>
          <w:tblCellMar>
            <w:top w:w="0" w:type="dxa"/>
            <w:left w:w="108" w:type="dxa"/>
            <w:bottom w:w="0" w:type="dxa"/>
            <w:right w:w="108" w:type="dxa"/>
          </w:tblCellMar>
        </w:tblPrEx>
        <w:trPr>
          <w:trHeight w:val="1136"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生物医药</w:t>
            </w: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免疫细胞治疗与基因治 疗技术方向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聚焦CAR-T疗法、CIK疗法、NK疗法等免疫细胞疗法，融合基础免疫学、基因工程、基因编辑等前沿技术，注重疗效与特异性，在癌症及其他免疫性疾病治疗中提出颠覆性治疗方案。</w:t>
            </w:r>
          </w:p>
        </w:tc>
      </w:tr>
      <w:tr>
        <w:tblPrEx>
          <w:tblCellMar>
            <w:top w:w="0" w:type="dxa"/>
            <w:left w:w="108" w:type="dxa"/>
            <w:bottom w:w="0" w:type="dxa"/>
            <w:right w:w="108" w:type="dxa"/>
          </w:tblCellMar>
        </w:tblPrEx>
        <w:trPr>
          <w:trHeight w:val="106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电子信息</w:t>
            </w: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碳基半导体技术方向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推进以碳纳米管、碳纳米纤维、纳米碳球、石墨烯等为主的碳基半导体技术研究，解决纳米级别芯片在材料和系统等方面的技术限制问题。</w:t>
            </w:r>
          </w:p>
        </w:tc>
      </w:tr>
      <w:tr>
        <w:tblPrEx>
          <w:tblCellMar>
            <w:top w:w="0" w:type="dxa"/>
            <w:left w:w="108" w:type="dxa"/>
            <w:bottom w:w="0" w:type="dxa"/>
            <w:right w:w="108" w:type="dxa"/>
          </w:tblCellMar>
        </w:tblPrEx>
        <w:trPr>
          <w:trHeight w:val="994"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both"/>
              <w:rPr>
                <w:rFonts w:ascii="方正仿宋_GBK" w:hAnsi="等线" w:eastAsia="方正仿宋_GBK" w:cs="宋体"/>
                <w:color w:val="000000"/>
                <w:kern w:val="0"/>
                <w:sz w:val="32"/>
                <w:szCs w:val="32"/>
              </w:rPr>
            </w:pP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量子计算与测量技术方 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聚焦量子计算机和新型量子算法、软件等技术突破，应用于聚变能源模拟、新药研制、新型半导体材料研发等场景，推 进量子测量在国防军事、时间基准和极弱信号分析等领域提出颠覆性解决方案。</w:t>
            </w:r>
          </w:p>
        </w:tc>
      </w:tr>
      <w:tr>
        <w:tblPrEx>
          <w:tblCellMar>
            <w:top w:w="0" w:type="dxa"/>
            <w:left w:w="108" w:type="dxa"/>
            <w:bottom w:w="0" w:type="dxa"/>
            <w:right w:w="108" w:type="dxa"/>
          </w:tblCellMar>
        </w:tblPrEx>
        <w:trPr>
          <w:trHeight w:val="1087" w:hRule="atLeast"/>
        </w:trPr>
        <w:tc>
          <w:tcPr>
            <w:tcW w:w="1572"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绿色技术</w:t>
            </w:r>
          </w:p>
        </w:tc>
        <w:tc>
          <w:tcPr>
            <w:tcW w:w="184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脱碳固碳技术方向</w:t>
            </w:r>
          </w:p>
        </w:tc>
        <w:tc>
          <w:tcPr>
            <w:tcW w:w="5012" w:type="dxa"/>
            <w:tcBorders>
              <w:top w:val="nil"/>
              <w:left w:val="nil"/>
              <w:bottom w:val="single" w:color="auto" w:sz="4" w:space="0"/>
              <w:right w:val="single" w:color="auto" w:sz="4" w:space="0"/>
            </w:tcBorders>
            <w:shd w:val="clear" w:color="auto" w:fill="auto"/>
            <w:vAlign w:val="center"/>
          </w:tcPr>
          <w:p>
            <w:pPr>
              <w:widowControl/>
              <w:spacing w:line="400" w:lineRule="exact"/>
              <w:jc w:val="both"/>
              <w:rPr>
                <w:rFonts w:ascii="方正仿宋_GBK" w:hAnsi="等线" w:eastAsia="方正仿宋_GBK" w:cs="宋体"/>
                <w:color w:val="000000"/>
                <w:kern w:val="0"/>
                <w:sz w:val="32"/>
                <w:szCs w:val="32"/>
              </w:rPr>
            </w:pPr>
            <w:r>
              <w:rPr>
                <w:rFonts w:hint="eastAsia" w:ascii="方正仿宋_GBK" w:hAnsi="等线" w:eastAsia="方正仿宋_GBK" w:cs="宋体"/>
                <w:color w:val="000000"/>
                <w:kern w:val="0"/>
                <w:sz w:val="32"/>
                <w:szCs w:val="32"/>
              </w:rPr>
              <w:t>加强二氧化碳捕集利用与固碳封存技术的创新突破，通过空气、海洋、土壤和岩石等不同介质实现脱碳固碳重大突破。</w:t>
            </w:r>
          </w:p>
        </w:tc>
      </w:tr>
    </w:tbl>
    <w:p>
      <w:pPr>
        <w:spacing w:line="600" w:lineRule="exact"/>
        <w:jc w:val="both"/>
        <w:rPr>
          <w:rFonts w:ascii="方正仿宋_GBK" w:hAnsi="华文仿宋" w:eastAsia="方正仿宋_GBK" w:cs="华文仿宋"/>
          <w:color w:val="191919"/>
          <w:sz w:val="32"/>
          <w:szCs w:val="32"/>
        </w:rPr>
      </w:pPr>
    </w:p>
    <w:p>
      <w:pPr>
        <w:widowControl/>
        <w:jc w:val="both"/>
        <w:rPr>
          <w:rFonts w:ascii="方正仿宋_GBK" w:hAnsi="华文仿宋" w:eastAsia="方正仿宋_GBK" w:cs="华文仿宋"/>
          <w:color w:val="191919"/>
          <w:sz w:val="32"/>
          <w:szCs w:val="32"/>
        </w:rPr>
      </w:pPr>
      <w:r>
        <w:rPr>
          <w:rFonts w:ascii="方正仿宋_GBK" w:hAnsi="华文仿宋" w:eastAsia="方正仿宋_GBK" w:cs="华文仿宋"/>
          <w:color w:val="191919"/>
          <w:sz w:val="32"/>
          <w:szCs w:val="32"/>
        </w:rPr>
        <w:br w:type="page"/>
      </w:r>
    </w:p>
    <w:p>
      <w:pPr>
        <w:spacing w:line="600" w:lineRule="exact"/>
        <w:jc w:val="both"/>
        <w:rPr>
          <w:rFonts w:ascii="黑体" w:hAnsi="黑体" w:eastAsia="黑体" w:cs="华文仿宋"/>
          <w:color w:val="191919"/>
          <w:sz w:val="32"/>
          <w:szCs w:val="32"/>
        </w:rPr>
      </w:pPr>
      <w:r>
        <w:rPr>
          <w:rFonts w:hint="eastAsia" w:ascii="黑体" w:hAnsi="黑体" w:eastAsia="黑体" w:cs="华文仿宋"/>
          <w:color w:val="191919"/>
          <w:sz w:val="32"/>
          <w:szCs w:val="32"/>
        </w:rPr>
        <w:t>附件3</w:t>
      </w:r>
    </w:p>
    <w:p>
      <w:pPr>
        <w:spacing w:line="600" w:lineRule="exact"/>
        <w:jc w:val="both"/>
        <w:rPr>
          <w:rFonts w:ascii="方正仿宋_GBK" w:hAnsi="华文仿宋" w:eastAsia="方正仿宋_GBK" w:cs="华文仿宋"/>
          <w:color w:val="191919"/>
          <w:sz w:val="32"/>
          <w:szCs w:val="32"/>
        </w:rPr>
      </w:pPr>
    </w:p>
    <w:tbl>
      <w:tblPr>
        <w:tblStyle w:val="5"/>
        <w:tblW w:w="8844" w:type="dxa"/>
        <w:tblInd w:w="0" w:type="dxa"/>
        <w:tblLayout w:type="autofit"/>
        <w:tblCellMar>
          <w:top w:w="15" w:type="dxa"/>
          <w:left w:w="108" w:type="dxa"/>
          <w:bottom w:w="15" w:type="dxa"/>
          <w:right w:w="108" w:type="dxa"/>
        </w:tblCellMar>
      </w:tblPr>
      <w:tblGrid>
        <w:gridCol w:w="589"/>
        <w:gridCol w:w="883"/>
        <w:gridCol w:w="883"/>
        <w:gridCol w:w="885"/>
        <w:gridCol w:w="885"/>
        <w:gridCol w:w="885"/>
        <w:gridCol w:w="885"/>
        <w:gridCol w:w="1734"/>
        <w:gridCol w:w="722"/>
        <w:gridCol w:w="493"/>
      </w:tblGrid>
      <w:tr>
        <w:tblPrEx>
          <w:tblCellMar>
            <w:top w:w="15" w:type="dxa"/>
            <w:left w:w="108" w:type="dxa"/>
            <w:bottom w:w="15" w:type="dxa"/>
            <w:right w:w="108" w:type="dxa"/>
          </w:tblCellMar>
        </w:tblPrEx>
        <w:trPr>
          <w:trHeight w:val="990" w:hRule="atLeast"/>
        </w:trPr>
        <w:tc>
          <w:tcPr>
            <w:tcW w:w="8622" w:type="dxa"/>
            <w:gridSpan w:val="10"/>
            <w:tcBorders>
              <w:top w:val="nil"/>
              <w:left w:val="nil"/>
              <w:bottom w:val="nil"/>
              <w:right w:val="nil"/>
            </w:tcBorders>
            <w:noWrap/>
            <w:vAlign w:val="center"/>
          </w:tcPr>
          <w:p>
            <w:pPr>
              <w:widowControl/>
              <w:spacing w:line="560" w:lineRule="exact"/>
              <w:jc w:val="center"/>
              <w:rPr>
                <w:rFonts w:ascii="方正小标宋_GBK" w:hAnsi="仿宋" w:eastAsia="方正小标宋_GBK" w:cs="宋体"/>
                <w:bCs/>
                <w:kern w:val="0"/>
                <w:sz w:val="42"/>
                <w:szCs w:val="42"/>
              </w:rPr>
            </w:pPr>
            <w:r>
              <w:rPr>
                <w:rFonts w:hint="eastAsia" w:ascii="方正小标宋_GBK" w:hAnsi="仿宋" w:eastAsia="方正小标宋_GBK" w:cs="宋体"/>
                <w:bCs/>
                <w:kern w:val="0"/>
                <w:sz w:val="42"/>
                <w:szCs w:val="42"/>
              </w:rPr>
              <w:t>2022年全国颠覆性技术创新大赛</w:t>
            </w:r>
          </w:p>
          <w:p>
            <w:pPr>
              <w:widowControl/>
              <w:spacing w:line="560" w:lineRule="exact"/>
              <w:jc w:val="center"/>
              <w:rPr>
                <w:rFonts w:ascii="方正小标宋简体" w:hAnsi="仿宋" w:eastAsia="方正小标宋简体" w:cs="宋体"/>
                <w:b/>
                <w:bCs/>
                <w:kern w:val="0"/>
                <w:sz w:val="44"/>
                <w:szCs w:val="44"/>
              </w:rPr>
            </w:pPr>
            <w:r>
              <w:rPr>
                <w:rFonts w:hint="eastAsia" w:ascii="方正小标宋_GBK" w:hAnsi="仿宋" w:eastAsia="方正小标宋_GBK" w:cs="宋体"/>
                <w:bCs/>
                <w:kern w:val="0"/>
                <w:sz w:val="42"/>
                <w:szCs w:val="42"/>
              </w:rPr>
              <w:t>专家推荐表</w:t>
            </w:r>
          </w:p>
        </w:tc>
      </w:tr>
      <w:tr>
        <w:tblPrEx>
          <w:tblCellMar>
            <w:top w:w="15" w:type="dxa"/>
            <w:left w:w="108" w:type="dxa"/>
            <w:bottom w:w="15" w:type="dxa"/>
            <w:right w:w="108" w:type="dxa"/>
          </w:tblCellMar>
        </w:tblPrEx>
        <w:trPr>
          <w:trHeight w:val="690" w:hRule="atLeast"/>
        </w:trPr>
        <w:tc>
          <w:tcPr>
            <w:tcW w:w="3156" w:type="dxa"/>
            <w:gridSpan w:val="4"/>
            <w:tcBorders>
              <w:top w:val="nil"/>
              <w:left w:val="nil"/>
              <w:bottom w:val="nil"/>
              <w:right w:val="nil"/>
            </w:tcBorders>
            <w:noWrap/>
            <w:vAlign w:val="center"/>
          </w:tcPr>
          <w:p>
            <w:pPr>
              <w:widowControl/>
              <w:spacing w:line="560" w:lineRule="exact"/>
              <w:jc w:val="both"/>
              <w:rPr>
                <w:rFonts w:cs="宋体" w:asciiTheme="minorEastAsia" w:hAnsiTheme="minorEastAsia"/>
                <w:b/>
                <w:bCs/>
                <w:kern w:val="0"/>
                <w:sz w:val="24"/>
              </w:rPr>
            </w:pPr>
            <w:r>
              <w:rPr>
                <w:rFonts w:hint="eastAsia" w:cs="宋体" w:asciiTheme="minorEastAsia" w:hAnsiTheme="minorEastAsia"/>
                <w:b/>
                <w:bCs/>
                <w:kern w:val="0"/>
                <w:sz w:val="24"/>
              </w:rPr>
              <w:t>推荐单位：（盖章）</w:t>
            </w:r>
          </w:p>
        </w:tc>
        <w:tc>
          <w:tcPr>
            <w:tcW w:w="1726" w:type="dxa"/>
            <w:gridSpan w:val="2"/>
            <w:tcBorders>
              <w:top w:val="nil"/>
              <w:left w:val="nil"/>
              <w:bottom w:val="nil"/>
              <w:right w:val="nil"/>
            </w:tcBorders>
            <w:noWrap/>
            <w:vAlign w:val="center"/>
          </w:tcPr>
          <w:p>
            <w:pPr>
              <w:widowControl/>
              <w:spacing w:line="560" w:lineRule="exact"/>
              <w:jc w:val="both"/>
              <w:rPr>
                <w:rFonts w:cs="宋体" w:asciiTheme="minorEastAsia" w:hAnsiTheme="minorEastAsia"/>
                <w:b/>
                <w:bCs/>
                <w:kern w:val="0"/>
                <w:sz w:val="24"/>
              </w:rPr>
            </w:pPr>
          </w:p>
        </w:tc>
        <w:tc>
          <w:tcPr>
            <w:tcW w:w="2555" w:type="dxa"/>
            <w:gridSpan w:val="2"/>
            <w:tcBorders>
              <w:top w:val="nil"/>
              <w:left w:val="nil"/>
              <w:bottom w:val="nil"/>
              <w:right w:val="nil"/>
            </w:tcBorders>
            <w:noWrap/>
            <w:vAlign w:val="center"/>
          </w:tcPr>
          <w:p>
            <w:pPr>
              <w:widowControl/>
              <w:spacing w:line="560" w:lineRule="exact"/>
              <w:jc w:val="both"/>
              <w:rPr>
                <w:rFonts w:cs="Times New Roman" w:asciiTheme="minorEastAsia" w:hAnsiTheme="minorEastAsia"/>
                <w:kern w:val="0"/>
                <w:sz w:val="20"/>
                <w:szCs w:val="20"/>
              </w:rPr>
            </w:pPr>
          </w:p>
        </w:tc>
        <w:tc>
          <w:tcPr>
            <w:tcW w:w="1185" w:type="dxa"/>
            <w:gridSpan w:val="2"/>
            <w:tcBorders>
              <w:top w:val="nil"/>
              <w:left w:val="nil"/>
              <w:bottom w:val="nil"/>
              <w:right w:val="nil"/>
            </w:tcBorders>
            <w:noWrap/>
            <w:vAlign w:val="center"/>
          </w:tcPr>
          <w:p>
            <w:pPr>
              <w:widowControl/>
              <w:spacing w:line="560" w:lineRule="exact"/>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序号</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专家姓名</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所属机构</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专家类型</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技术方向</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证件类型</w:t>
            </w: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证件号码</w:t>
            </w: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职务、职称、职级</w:t>
            </w: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手机号</w:t>
            </w: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r>
              <w:rPr>
                <w:rFonts w:hint="eastAsia" w:cs="宋体" w:asciiTheme="minorEastAsia" w:hAnsiTheme="minorEastAsia"/>
                <w:b/>
                <w:bCs/>
                <w:kern w:val="0"/>
                <w:sz w:val="24"/>
              </w:rPr>
              <w:t>备注</w:t>
            </w: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Cs/>
                <w:kern w:val="0"/>
                <w:sz w:val="24"/>
              </w:rPr>
            </w:pPr>
            <w:r>
              <w:rPr>
                <w:rFonts w:hint="eastAsia" w:cs="宋体" w:asciiTheme="minorEastAsia" w:hAnsiTheme="minorEastAsia"/>
                <w:bCs/>
                <w:kern w:val="0"/>
                <w:sz w:val="24"/>
              </w:rPr>
              <w:t>1</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Cs/>
                <w:kern w:val="0"/>
                <w:sz w:val="24"/>
              </w:rPr>
            </w:pPr>
            <w:r>
              <w:rPr>
                <w:rFonts w:hint="eastAsia" w:cs="宋体" w:asciiTheme="minorEastAsia" w:hAnsiTheme="minorEastAsia"/>
                <w:bCs/>
                <w:kern w:val="0"/>
                <w:sz w:val="24"/>
              </w:rPr>
              <w:t>2</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Cs/>
                <w:kern w:val="0"/>
                <w:sz w:val="24"/>
              </w:rPr>
            </w:pPr>
            <w:r>
              <w:rPr>
                <w:rFonts w:hint="eastAsia" w:cs="宋体" w:asciiTheme="minorEastAsia" w:hAnsiTheme="minorEastAsia"/>
                <w:bCs/>
                <w:kern w:val="0"/>
                <w:sz w:val="24"/>
              </w:rPr>
              <w:t>3</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b/>
                <w:bCs/>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kern w:val="0"/>
                <w:sz w:val="24"/>
              </w:rPr>
            </w:pPr>
            <w:r>
              <w:rPr>
                <w:rFonts w:hint="eastAsia" w:cs="宋体" w:asciiTheme="minorEastAsia" w:hAnsiTheme="minorEastAsia"/>
                <w:kern w:val="0"/>
                <w:sz w:val="24"/>
              </w:rPr>
              <w:t>...</w:t>
            </w: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宋体" w:asciiTheme="minorEastAsia" w:hAnsiTheme="minorEastAsia"/>
                <w:kern w:val="0"/>
                <w:sz w:val="24"/>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690"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863"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1692"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704"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c>
          <w:tcPr>
            <w:tcW w:w="481" w:type="dxa"/>
            <w:tcBorders>
              <w:top w:val="single" w:color="auto" w:sz="4" w:space="0"/>
              <w:left w:val="single" w:color="auto" w:sz="4" w:space="0"/>
              <w:bottom w:val="single" w:color="auto" w:sz="4" w:space="0"/>
              <w:right w:val="single" w:color="auto" w:sz="4" w:space="0"/>
            </w:tcBorders>
            <w:noWrap/>
            <w:vAlign w:val="center"/>
          </w:tcPr>
          <w:p>
            <w:pPr>
              <w:widowControl/>
              <w:jc w:val="both"/>
              <w:rPr>
                <w:rFonts w:cs="Times New Roman" w:asciiTheme="minorEastAsia" w:hAnsiTheme="minorEastAsia"/>
                <w:kern w:val="0"/>
                <w:sz w:val="20"/>
                <w:szCs w:val="20"/>
              </w:rPr>
            </w:pPr>
          </w:p>
        </w:tc>
      </w:tr>
      <w:tr>
        <w:tblPrEx>
          <w:tblCellMar>
            <w:top w:w="15" w:type="dxa"/>
            <w:left w:w="108" w:type="dxa"/>
            <w:bottom w:w="15" w:type="dxa"/>
            <w:right w:w="108" w:type="dxa"/>
          </w:tblCellMar>
        </w:tblPrEx>
        <w:trPr>
          <w:trHeight w:val="579" w:hRule="atLeast"/>
        </w:trPr>
        <w:tc>
          <w:tcPr>
            <w:tcW w:w="8622" w:type="dxa"/>
            <w:gridSpan w:val="10"/>
            <w:vMerge w:val="restart"/>
            <w:tcBorders>
              <w:top w:val="nil"/>
              <w:left w:val="nil"/>
              <w:bottom w:val="nil"/>
              <w:right w:val="nil"/>
            </w:tcBorders>
            <w:vAlign w:val="center"/>
          </w:tcPr>
          <w:p>
            <w:pPr>
              <w:widowControl/>
              <w:spacing w:line="300" w:lineRule="exact"/>
              <w:jc w:val="both"/>
              <w:rPr>
                <w:rFonts w:hint="eastAsia" w:hAnsi="仿宋" w:cs="宋体" w:eastAsiaTheme="minorEastAsia"/>
                <w:kern w:val="0"/>
                <w:sz w:val="22"/>
                <w:szCs w:val="21"/>
                <w:lang w:eastAsia="zh-CN"/>
              </w:rPr>
            </w:pPr>
            <w:r>
              <w:rPr>
                <w:rFonts w:hint="eastAsia" w:hAnsi="仿宋" w:cs="宋体"/>
                <w:kern w:val="0"/>
                <w:sz w:val="22"/>
                <w:szCs w:val="21"/>
              </w:rPr>
              <w:t>填表说明：</w:t>
            </w:r>
          </w:p>
          <w:p>
            <w:pPr>
              <w:widowControl/>
              <w:spacing w:line="300" w:lineRule="exact"/>
              <w:jc w:val="both"/>
              <w:rPr>
                <w:rFonts w:hint="eastAsia" w:hAnsi="仿宋" w:cs="宋体" w:eastAsiaTheme="minorEastAsia"/>
                <w:kern w:val="0"/>
                <w:sz w:val="22"/>
                <w:szCs w:val="21"/>
                <w:lang w:eastAsia="zh-CN"/>
              </w:rPr>
            </w:pPr>
            <w:r>
              <w:rPr>
                <w:rFonts w:hint="eastAsia" w:hAnsi="仿宋" w:cs="宋体"/>
                <w:kern w:val="0"/>
                <w:sz w:val="22"/>
                <w:szCs w:val="21"/>
              </w:rPr>
              <w:t xml:space="preserve">    1.《全国颠覆性技术创新大赛专家推荐表》由各市、州科技管理部门或高新区管委会填制，专家信息仅用于聘选全国颠覆性技术创新大赛评议专家；</w:t>
            </w:r>
          </w:p>
          <w:p>
            <w:pPr>
              <w:widowControl/>
              <w:spacing w:line="300" w:lineRule="exact"/>
              <w:jc w:val="both"/>
              <w:rPr>
                <w:rFonts w:hint="eastAsia" w:hAnsi="仿宋" w:cs="宋体" w:eastAsiaTheme="minorEastAsia"/>
                <w:kern w:val="0"/>
                <w:sz w:val="22"/>
                <w:szCs w:val="21"/>
                <w:lang w:eastAsia="zh-CN"/>
              </w:rPr>
            </w:pPr>
            <w:r>
              <w:rPr>
                <w:rFonts w:hint="eastAsia" w:hAnsi="仿宋" w:cs="宋体"/>
                <w:kern w:val="0"/>
                <w:sz w:val="22"/>
                <w:szCs w:val="21"/>
              </w:rPr>
              <w:t xml:space="preserve">    2.各单位组织推荐专家人选时，应充分征求被推荐人意愿，推荐的专家应秉持专业精神自愿从事全国颠覆性技术创新大赛评议工作；</w:t>
            </w:r>
          </w:p>
          <w:p>
            <w:pPr>
              <w:widowControl/>
              <w:spacing w:line="300" w:lineRule="exact"/>
              <w:jc w:val="both"/>
              <w:rPr>
                <w:rFonts w:hint="eastAsia" w:hAnsi="仿宋" w:cs="宋体" w:eastAsiaTheme="minorEastAsia"/>
                <w:kern w:val="0"/>
                <w:sz w:val="22"/>
                <w:szCs w:val="21"/>
                <w:lang w:eastAsia="zh-CN"/>
              </w:rPr>
            </w:pPr>
            <w:r>
              <w:rPr>
                <w:rFonts w:hint="eastAsia" w:hAnsi="仿宋" w:cs="宋体"/>
                <w:kern w:val="0"/>
                <w:sz w:val="22"/>
                <w:szCs w:val="21"/>
              </w:rPr>
              <w:t xml:space="preserve">    3.被推荐人应填制《全国颠覆性技术创新大赛专家申请表》，经推荐单位核实信息后方可推荐，科技部火炬中心视情况纳入专家库，并从中选择赛事评议专家；</w:t>
            </w:r>
          </w:p>
          <w:p>
            <w:pPr>
              <w:widowControl/>
              <w:spacing w:line="300" w:lineRule="exact"/>
              <w:jc w:val="both"/>
              <w:rPr>
                <w:rFonts w:hint="eastAsia" w:hAnsi="仿宋" w:cs="宋体" w:eastAsiaTheme="minorEastAsia"/>
                <w:kern w:val="0"/>
                <w:sz w:val="22"/>
                <w:szCs w:val="21"/>
                <w:lang w:eastAsia="zh-CN"/>
              </w:rPr>
            </w:pPr>
            <w:r>
              <w:rPr>
                <w:rFonts w:hint="eastAsia" w:hAnsi="仿宋" w:cs="宋体"/>
                <w:kern w:val="0"/>
                <w:sz w:val="22"/>
                <w:szCs w:val="21"/>
              </w:rPr>
              <w:t xml:space="preserve">    4.被推荐人应是在颠覆性技术发现和识别等方面具有研究基础的战略专家、行业专家、金融投资专家、技术专家等，相关工作经验5年以上，有较强的前瞻能力、愿意接纳新思想，对行业有较好的判断能力，熟悉科研管理方式。鉴于颠覆性技术具有跨学科特征，建议推荐对象重点考虑兼具产业经营和技术研发经历的专家；</w:t>
            </w:r>
          </w:p>
          <w:p>
            <w:pPr>
              <w:widowControl/>
              <w:spacing w:line="300" w:lineRule="exact"/>
              <w:jc w:val="both"/>
              <w:rPr>
                <w:rFonts w:hint="eastAsia" w:hAnsi="仿宋" w:cs="宋体" w:eastAsiaTheme="minorEastAsia"/>
                <w:kern w:val="0"/>
                <w:sz w:val="22"/>
                <w:szCs w:val="21"/>
                <w:lang w:eastAsia="zh-CN"/>
              </w:rPr>
            </w:pPr>
            <w:r>
              <w:rPr>
                <w:rFonts w:hint="eastAsia" w:hAnsi="仿宋" w:cs="宋体"/>
                <w:kern w:val="0"/>
                <w:sz w:val="22"/>
                <w:szCs w:val="21"/>
              </w:rPr>
              <w:t xml:space="preserve">    5.“职务、职称、职级”栏按实际情况填写，“备注”栏可填写被推荐人获得的最高等级的国家级或省部级荣誉称号；</w:t>
            </w:r>
          </w:p>
          <w:p>
            <w:pPr>
              <w:widowControl/>
              <w:spacing w:line="300" w:lineRule="exact"/>
              <w:jc w:val="both"/>
              <w:rPr>
                <w:rFonts w:hAnsi="仿宋" w:cs="宋体"/>
                <w:kern w:val="0"/>
                <w:sz w:val="22"/>
                <w:szCs w:val="21"/>
              </w:rPr>
            </w:pPr>
            <w:r>
              <w:rPr>
                <w:rFonts w:hint="eastAsia" w:hAnsi="仿宋" w:cs="宋体"/>
                <w:kern w:val="0"/>
                <w:sz w:val="22"/>
                <w:szCs w:val="21"/>
              </w:rPr>
              <w:t xml:space="preserve">    6.各推荐单位将推荐表加盖单位公章后，将被推荐人填制的《全国颠覆性技术创新大赛专家申请表》一起打包（扫描件和电子版）发送至：</w:t>
            </w:r>
            <w:r>
              <w:rPr>
                <w:rFonts w:hAnsi="仿宋" w:cs="宋体"/>
                <w:kern w:val="0"/>
                <w:sz w:val="22"/>
                <w:szCs w:val="21"/>
              </w:rPr>
              <w:t>hbgxzx2022@163.com</w:t>
            </w:r>
            <w:r>
              <w:rPr>
                <w:rFonts w:hint="eastAsia" w:hAnsi="仿宋" w:cs="宋体"/>
                <w:kern w:val="0"/>
                <w:sz w:val="22"/>
                <w:szCs w:val="21"/>
              </w:rPr>
              <w:t>，文件名称及类型统一为“XX市科技局/XX高新区.zip”</w:t>
            </w:r>
            <w:r>
              <w:rPr>
                <w:rFonts w:hAnsi="仿宋" w:cs="宋体"/>
                <w:kern w:val="0"/>
                <w:sz w:val="22"/>
                <w:szCs w:val="21"/>
              </w:rPr>
              <w:t>（如：</w:t>
            </w:r>
            <w:r>
              <w:rPr>
                <w:rFonts w:hint="eastAsia" w:hAnsi="仿宋" w:cs="宋体"/>
                <w:kern w:val="0"/>
                <w:sz w:val="22"/>
                <w:szCs w:val="21"/>
              </w:rPr>
              <w:t>武汉市</w:t>
            </w:r>
            <w:r>
              <w:rPr>
                <w:rFonts w:hAnsi="仿宋" w:cs="宋体"/>
                <w:kern w:val="0"/>
                <w:sz w:val="22"/>
                <w:szCs w:val="21"/>
              </w:rPr>
              <w:t>科技</w:t>
            </w:r>
            <w:r>
              <w:rPr>
                <w:rFonts w:hint="eastAsia" w:hAnsi="仿宋" w:cs="宋体"/>
                <w:kern w:val="0"/>
                <w:sz w:val="22"/>
                <w:szCs w:val="21"/>
              </w:rPr>
              <w:t>局</w:t>
            </w:r>
            <w:r>
              <w:rPr>
                <w:rFonts w:hAnsi="仿宋" w:cs="宋体"/>
                <w:kern w:val="0"/>
                <w:sz w:val="22"/>
                <w:szCs w:val="21"/>
              </w:rPr>
              <w:t>.zip 或武汉东</w:t>
            </w:r>
            <w:r>
              <w:rPr>
                <w:rFonts w:hint="eastAsia" w:hAnsi="仿宋" w:cs="宋体"/>
                <w:kern w:val="0"/>
                <w:sz w:val="22"/>
                <w:szCs w:val="21"/>
              </w:rPr>
              <w:t>湖</w:t>
            </w:r>
            <w:r>
              <w:rPr>
                <w:rFonts w:hAnsi="仿宋" w:cs="宋体"/>
                <w:kern w:val="0"/>
                <w:sz w:val="22"/>
                <w:szCs w:val="21"/>
              </w:rPr>
              <w:t>高新区.zip，格式为压缩文件）</w:t>
            </w:r>
            <w:r>
              <w:rPr>
                <w:rFonts w:hint="eastAsia" w:hAnsi="仿宋" w:cs="宋体"/>
                <w:kern w:val="0"/>
                <w:sz w:val="22"/>
                <w:szCs w:val="21"/>
              </w:rPr>
              <w:t>;</w:t>
            </w:r>
          </w:p>
          <w:p>
            <w:pPr>
              <w:widowControl/>
              <w:spacing w:line="300" w:lineRule="exact"/>
              <w:ind w:firstLine="440" w:firstLineChars="200"/>
              <w:jc w:val="both"/>
              <w:rPr>
                <w:rFonts w:hAnsi="仿宋" w:cs="宋体"/>
                <w:kern w:val="0"/>
                <w:szCs w:val="21"/>
              </w:rPr>
            </w:pPr>
            <w:r>
              <w:rPr>
                <w:rFonts w:hint="eastAsia" w:hAnsi="仿宋" w:cs="宋体"/>
                <w:kern w:val="0"/>
                <w:sz w:val="22"/>
                <w:szCs w:val="21"/>
              </w:rPr>
              <w:t>7.推荐截止日期为</w:t>
            </w:r>
            <w:r>
              <w:rPr>
                <w:rFonts w:hAnsi="仿宋" w:cs="宋体"/>
                <w:kern w:val="0"/>
                <w:sz w:val="22"/>
                <w:szCs w:val="21"/>
              </w:rPr>
              <w:t>2022</w:t>
            </w:r>
            <w:r>
              <w:rPr>
                <w:rFonts w:hint="eastAsia" w:hAnsi="仿宋" w:cs="宋体"/>
                <w:kern w:val="0"/>
                <w:sz w:val="22"/>
                <w:szCs w:val="21"/>
              </w:rPr>
              <w:t>年8月15日。</w:t>
            </w: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85"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r>
        <w:tblPrEx>
          <w:tblCellMar>
            <w:top w:w="15" w:type="dxa"/>
            <w:left w:w="108" w:type="dxa"/>
            <w:bottom w:w="15" w:type="dxa"/>
            <w:right w:w="108" w:type="dxa"/>
          </w:tblCellMar>
        </w:tblPrEx>
        <w:trPr>
          <w:trHeight w:val="220" w:hRule="atLeast"/>
        </w:trPr>
        <w:tc>
          <w:tcPr>
            <w:tcW w:w="8622" w:type="dxa"/>
            <w:gridSpan w:val="10"/>
            <w:vMerge w:val="continue"/>
            <w:tcBorders>
              <w:top w:val="nil"/>
              <w:left w:val="nil"/>
              <w:bottom w:val="nil"/>
              <w:right w:val="nil"/>
            </w:tcBorders>
            <w:vAlign w:val="center"/>
          </w:tcPr>
          <w:p>
            <w:pPr>
              <w:widowControl/>
              <w:spacing w:line="220" w:lineRule="exact"/>
              <w:jc w:val="both"/>
              <w:rPr>
                <w:rFonts w:hAnsi="仿宋" w:cs="宋体"/>
                <w:kern w:val="0"/>
                <w:sz w:val="24"/>
              </w:rPr>
            </w:pPr>
          </w:p>
        </w:tc>
      </w:tr>
    </w:tbl>
    <w:p>
      <w:pPr>
        <w:spacing w:line="600" w:lineRule="exact"/>
        <w:jc w:val="both"/>
        <w:rPr>
          <w:rFonts w:ascii="黑体" w:hAnsi="黑体" w:eastAsia="黑体" w:cs="华文仿宋"/>
          <w:color w:val="191919"/>
          <w:sz w:val="32"/>
          <w:szCs w:val="32"/>
        </w:rPr>
      </w:pPr>
      <w:r>
        <w:rPr>
          <w:rFonts w:hint="eastAsia" w:ascii="黑体" w:hAnsi="黑体" w:eastAsia="黑体" w:cs="华文仿宋"/>
          <w:color w:val="191919"/>
          <w:sz w:val="32"/>
          <w:szCs w:val="32"/>
        </w:rPr>
        <w:t>附件4</w:t>
      </w:r>
    </w:p>
    <w:p>
      <w:pPr>
        <w:spacing w:line="560" w:lineRule="exact"/>
        <w:jc w:val="both"/>
        <w:rPr>
          <w:rFonts w:ascii="方正小标宋_GBK" w:eastAsia="方正小标宋_GBK"/>
          <w:bCs/>
          <w:sz w:val="42"/>
          <w:szCs w:val="42"/>
        </w:rPr>
      </w:pPr>
    </w:p>
    <w:p>
      <w:pPr>
        <w:spacing w:line="560" w:lineRule="exact"/>
        <w:jc w:val="both"/>
        <w:rPr>
          <w:rFonts w:ascii="方正小标宋_GBK" w:eastAsia="方正小标宋_GBK"/>
          <w:bCs/>
          <w:sz w:val="42"/>
          <w:szCs w:val="42"/>
        </w:rPr>
      </w:pPr>
      <w:r>
        <w:rPr>
          <w:rFonts w:hint="eastAsia" w:ascii="方正小标宋_GBK" w:eastAsia="方正小标宋_GBK"/>
          <w:bCs/>
          <w:sz w:val="42"/>
          <w:szCs w:val="42"/>
        </w:rPr>
        <w:t>2022年全国颠覆性技术创新大赛专家申请表</w:t>
      </w:r>
    </w:p>
    <w:p>
      <w:pPr>
        <w:spacing w:line="560" w:lineRule="exact"/>
        <w:jc w:val="both"/>
        <w:rPr>
          <w:rFonts w:ascii="方正小标宋_GBK" w:eastAsia="方正小标宋_GBK"/>
          <w:bCs/>
          <w:sz w:val="42"/>
          <w:szCs w:val="42"/>
        </w:rPr>
      </w:pPr>
      <w:r>
        <w:rPr>
          <w:rFonts w:hint="eastAsia"/>
          <w:bCs/>
          <w:sz w:val="24"/>
        </w:rPr>
        <w:t>所属机构：（盖章）</w:t>
      </w:r>
    </w:p>
    <w:tbl>
      <w:tblPr>
        <w:tblStyle w:val="5"/>
        <w:tblpPr w:leftFromText="180" w:rightFromText="180" w:vertAnchor="text" w:tblpXSpec="center" w:tblpY="1"/>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695"/>
        <w:gridCol w:w="1857"/>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所属机构</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邮编</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机构通信地址</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机构类型</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□科研院所  □高等院校  □学会  □行业协会</w:t>
            </w:r>
          </w:p>
          <w:p>
            <w:pPr>
              <w:spacing w:line="560" w:lineRule="exact"/>
              <w:jc w:val="both"/>
              <w:rPr>
                <w:bCs/>
                <w:sz w:val="24"/>
              </w:rPr>
            </w:pPr>
            <w:r>
              <w:rPr>
                <w:rFonts w:hint="eastAsia"/>
                <w:bCs/>
                <w:sz w:val="24"/>
              </w:rPr>
              <w:t>□科技管理部门  □高新区  □产业园  □专业孵化器</w:t>
            </w:r>
          </w:p>
          <w:p>
            <w:pPr>
              <w:spacing w:line="560" w:lineRule="exact"/>
              <w:jc w:val="both"/>
              <w:rPr>
                <w:bCs/>
                <w:sz w:val="24"/>
              </w:rPr>
            </w:pPr>
            <w:r>
              <w:rPr>
                <w:rFonts w:hint="eastAsia"/>
                <w:bCs/>
                <w:sz w:val="24"/>
              </w:rPr>
              <w:t>□创投机构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申请人姓名</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性别</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证件类型</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证件号码</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学历</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毕业专业</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职务</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c>
          <w:tcPr>
            <w:tcW w:w="1856" w:type="dxa"/>
            <w:tcBorders>
              <w:top w:val="single" w:color="auto" w:sz="4" w:space="0"/>
              <w:left w:val="single" w:color="auto" w:sz="4" w:space="0"/>
              <w:bottom w:val="single" w:color="auto" w:sz="4" w:space="0"/>
              <w:right w:val="single" w:color="auto" w:sz="4" w:space="0"/>
            </w:tcBorders>
          </w:tcPr>
          <w:p>
            <w:pPr>
              <w:spacing w:line="560" w:lineRule="exact"/>
              <w:jc w:val="both"/>
              <w:rPr>
                <w:bCs/>
                <w:sz w:val="24"/>
              </w:rPr>
            </w:pPr>
            <w:r>
              <w:rPr>
                <w:rFonts w:hint="eastAsia"/>
                <w:bCs/>
                <w:sz w:val="24"/>
              </w:rPr>
              <w:t>职称</w:t>
            </w:r>
          </w:p>
          <w:p>
            <w:pPr>
              <w:spacing w:line="560" w:lineRule="exact"/>
              <w:jc w:val="both"/>
              <w:rPr>
                <w:bCs/>
                <w:sz w:val="24"/>
              </w:rPr>
            </w:pPr>
            <w:r>
              <w:rPr>
                <w:rFonts w:hint="eastAsia"/>
                <w:bCs/>
                <w:sz w:val="24"/>
              </w:rPr>
              <w:t>（非必填）</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手机*</w:t>
            </w:r>
          </w:p>
        </w:tc>
        <w:tc>
          <w:tcPr>
            <w:tcW w:w="2693"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c>
          <w:tcPr>
            <w:tcW w:w="1856"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电子邮箱</w:t>
            </w:r>
          </w:p>
        </w:tc>
        <w:tc>
          <w:tcPr>
            <w:tcW w:w="2734"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234"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*手机号码将作为专家登录评选系统的“登录名”（唯一标识）使用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专家自我定位</w:t>
            </w:r>
          </w:p>
          <w:p>
            <w:pPr>
              <w:spacing w:line="560" w:lineRule="exact"/>
              <w:jc w:val="both"/>
              <w:rPr>
                <w:bCs/>
                <w:sz w:val="24"/>
              </w:rPr>
            </w:pPr>
            <w:r>
              <w:rPr>
                <w:rFonts w:hint="eastAsia"/>
                <w:bCs/>
                <w:sz w:val="24"/>
              </w:rPr>
              <w:t>（单选）</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 xml:space="preserve">□技术专家  □产业战略专家  □金融投资专家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主要关注的技术领域</w:t>
            </w:r>
          </w:p>
          <w:p>
            <w:pPr>
              <w:spacing w:line="560" w:lineRule="exact"/>
              <w:jc w:val="both"/>
              <w:rPr>
                <w:bCs/>
                <w:sz w:val="24"/>
              </w:rPr>
            </w:pPr>
            <w:r>
              <w:rPr>
                <w:rFonts w:hint="eastAsia"/>
                <w:bCs/>
                <w:sz w:val="24"/>
              </w:rPr>
              <w:t>（最多不超过三项）</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□集成电路            □人工智能</w:t>
            </w:r>
          </w:p>
          <w:p>
            <w:pPr>
              <w:spacing w:line="560" w:lineRule="exact"/>
              <w:jc w:val="both"/>
              <w:rPr>
                <w:bCs/>
                <w:sz w:val="24"/>
              </w:rPr>
            </w:pPr>
            <w:r>
              <w:rPr>
                <w:rFonts w:hint="eastAsia"/>
                <w:bCs/>
                <w:sz w:val="24"/>
              </w:rPr>
              <w:t>□未来网络与通信      □新材料</w:t>
            </w:r>
          </w:p>
          <w:p>
            <w:pPr>
              <w:spacing w:line="560" w:lineRule="exact"/>
              <w:jc w:val="both"/>
              <w:rPr>
                <w:bCs/>
                <w:sz w:val="24"/>
              </w:rPr>
            </w:pPr>
            <w:r>
              <w:rPr>
                <w:rFonts w:hint="eastAsia"/>
                <w:bCs/>
                <w:sz w:val="24"/>
              </w:rPr>
              <w:t>□高端装备制造        □绿色技术</w:t>
            </w:r>
          </w:p>
          <w:p>
            <w:pPr>
              <w:spacing w:line="560" w:lineRule="exact"/>
              <w:jc w:val="both"/>
              <w:rPr>
                <w:bCs/>
                <w:sz w:val="24"/>
              </w:rPr>
            </w:pPr>
            <w:r>
              <w:rPr>
                <w:rFonts w:hint="eastAsia"/>
                <w:bCs/>
                <w:sz w:val="24"/>
              </w:rPr>
              <w:t>□生物技术            □其他</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主要教育经历</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主要工作经历</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科研经历、管理经历、投资业绩等</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r>
              <w:rPr>
                <w:rFonts w:hint="eastAsia"/>
                <w:bCs/>
                <w:sz w:val="24"/>
              </w:rPr>
              <w:t>所获荣誉（国家级、省部级）</w:t>
            </w:r>
          </w:p>
        </w:tc>
        <w:tc>
          <w:tcPr>
            <w:tcW w:w="728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both"/>
              <w:rPr>
                <w:bCs/>
                <w:sz w:val="24"/>
              </w:rPr>
            </w:pPr>
          </w:p>
        </w:tc>
      </w:tr>
    </w:tbl>
    <w:p>
      <w:pPr>
        <w:spacing w:line="560" w:lineRule="exact"/>
        <w:jc w:val="both"/>
      </w:pPr>
    </w:p>
    <w:p>
      <w:pPr>
        <w:spacing w:line="600" w:lineRule="exact"/>
        <w:jc w:val="both"/>
        <w:rPr>
          <w:rFonts w:ascii="方正仿宋_GBK" w:hAnsi="华文仿宋" w:eastAsia="方正仿宋_GBK" w:cs="华文仿宋"/>
          <w:color w:val="191919"/>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MTdiYmEwM2MxNzc3NDgxMzExNzRiYWI2MTNmYTYifQ=="/>
  </w:docVars>
  <w:rsids>
    <w:rsidRoot w:val="486A26C6"/>
    <w:rsid w:val="000219FC"/>
    <w:rsid w:val="00032E55"/>
    <w:rsid w:val="0010702A"/>
    <w:rsid w:val="00145F29"/>
    <w:rsid w:val="001B4F7D"/>
    <w:rsid w:val="003566B5"/>
    <w:rsid w:val="005525B0"/>
    <w:rsid w:val="00656900"/>
    <w:rsid w:val="006C2140"/>
    <w:rsid w:val="00732880"/>
    <w:rsid w:val="007654EA"/>
    <w:rsid w:val="00792646"/>
    <w:rsid w:val="007D3A20"/>
    <w:rsid w:val="00944DCB"/>
    <w:rsid w:val="00996B4C"/>
    <w:rsid w:val="009B4089"/>
    <w:rsid w:val="009D6DED"/>
    <w:rsid w:val="00A2467D"/>
    <w:rsid w:val="00AE32AE"/>
    <w:rsid w:val="00B9366F"/>
    <w:rsid w:val="00BA48E3"/>
    <w:rsid w:val="00BD5B87"/>
    <w:rsid w:val="00DB2684"/>
    <w:rsid w:val="00ED6587"/>
    <w:rsid w:val="166A2330"/>
    <w:rsid w:val="192C5F67"/>
    <w:rsid w:val="209D1744"/>
    <w:rsid w:val="2D3F1A5C"/>
    <w:rsid w:val="2FB30E45"/>
    <w:rsid w:val="30DA3C03"/>
    <w:rsid w:val="34672391"/>
    <w:rsid w:val="358C2BB6"/>
    <w:rsid w:val="400D67E6"/>
    <w:rsid w:val="486A26C6"/>
    <w:rsid w:val="60CA17E5"/>
    <w:rsid w:val="6515369F"/>
    <w:rsid w:val="7E8F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6159</Words>
  <Characters>6497</Characters>
  <Lines>50</Lines>
  <Paragraphs>14</Paragraphs>
  <TotalTime>6</TotalTime>
  <ScaleCrop>false</ScaleCrop>
  <LinksUpToDate>false</LinksUpToDate>
  <CharactersWithSpaces>6793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2022-07-22T01:03:00Z</dcterms:created>
  <dc:creator>源</dc:creator>
  <cp:lastModifiedBy>吴思维</cp:lastModifiedBy>
  <cp:lastPrinted>2022-07-25T00:56:00Z</cp:lastPrinted>
  <dcterms:modified xsi:type="dcterms:W3CDTF">2022-07-29T01:15:44Z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4014349BF4D7439A8FB8F01311A9FEE0</vt:lpwstr>
  </property>
</Properties>
</file>