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EEEEEE" w:sz="6" w:space="8"/>
        </w:pBdr>
        <w:shd w:val="clear" w:color="auto" w:fill="FFFFFF"/>
        <w:spacing w:line="240" w:lineRule="auto"/>
        <w:jc w:val="center"/>
        <w:outlineLvl w:val="0"/>
        <w:rPr>
          <w:rFonts w:ascii="黑体" w:hAnsi="黑体" w:eastAsia="黑体" w:cs="宋体"/>
          <w:b/>
          <w:bCs/>
          <w:kern w:val="36"/>
          <w:sz w:val="36"/>
          <w:szCs w:val="36"/>
        </w:rPr>
      </w:pPr>
      <w:r>
        <w:rPr>
          <w:rFonts w:ascii="黑体" w:hAnsi="黑体" w:eastAsia="黑体" w:cs="宋体"/>
          <w:b/>
          <w:bCs/>
          <w:kern w:val="36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bCs/>
          <w:kern w:val="36"/>
          <w:sz w:val="36"/>
          <w:szCs w:val="36"/>
        </w:rPr>
        <w:t>1</w:t>
      </w:r>
      <w:r>
        <w:rPr>
          <w:rFonts w:ascii="黑体" w:hAnsi="黑体" w:eastAsia="黑体" w:cs="宋体"/>
          <w:b/>
          <w:bCs/>
          <w:kern w:val="36"/>
          <w:sz w:val="36"/>
          <w:szCs w:val="36"/>
        </w:rPr>
        <w:t>年度湖北省科学技术奖提名项目公示</w:t>
      </w:r>
    </w:p>
    <w:p>
      <w:pPr>
        <w:widowControl/>
        <w:shd w:val="clear" w:color="auto" w:fill="FFFFFF"/>
        <w:spacing w:line="240" w:lineRule="auto"/>
        <w:jc w:val="center"/>
        <w:rPr>
          <w:rFonts w:hint="eastAsia" w:ascii="微软雅黑" w:hAnsi="微软雅黑" w:eastAsia="宋体" w:cs="宋体"/>
          <w:color w:val="000000"/>
          <w:kern w:val="0"/>
          <w:sz w:val="23"/>
          <w:szCs w:val="23"/>
        </w:rPr>
      </w:pPr>
    </w:p>
    <w:p>
      <w:pPr>
        <w:widowControl/>
        <w:shd w:val="clear" w:color="auto" w:fill="FFFFFF"/>
        <w:spacing w:line="500" w:lineRule="atLeast"/>
        <w:ind w:firstLine="48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根据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湖北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省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科学技术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厅《关于开展202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年度省科学技术奖提名工作的通知》要求，现将我司提名项目有关情况予以公示，公示期为7天。</w:t>
      </w:r>
    </w:p>
    <w:p>
      <w:pPr>
        <w:widowControl/>
        <w:shd w:val="clear" w:color="auto" w:fill="FFFFFF"/>
        <w:spacing w:line="500" w:lineRule="atLeast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一、项目名称：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高集成低功耗低成本ONU面板关键技术及应用</w:t>
      </w:r>
    </w:p>
    <w:p>
      <w:pPr>
        <w:widowControl/>
        <w:shd w:val="clear" w:color="auto" w:fill="FFFFFF"/>
        <w:spacing w:line="500" w:lineRule="atLeast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二、提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名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 xml:space="preserve">者： 武汉市科技局 </w:t>
      </w:r>
    </w:p>
    <w:p>
      <w:pPr>
        <w:widowControl/>
        <w:shd w:val="clear" w:color="auto" w:fill="FFFFFF"/>
        <w:spacing w:line="500" w:lineRule="atLeast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三、提名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项目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： 科学技术进步奖</w:t>
      </w:r>
    </w:p>
    <w:p>
      <w:pPr>
        <w:widowControl/>
        <w:shd w:val="clear" w:color="auto" w:fill="FFFFFF"/>
        <w:spacing w:line="500" w:lineRule="atLeast"/>
        <w:ind w:firstLine="54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四、主要完成人：易志雄、易山韬、杜锷云、任洪秋、江兴平</w:t>
      </w:r>
    </w:p>
    <w:p>
      <w:pPr>
        <w:widowControl/>
        <w:shd w:val="clear" w:color="auto" w:fill="FFFFFF"/>
        <w:spacing w:line="500" w:lineRule="atLeast"/>
        <w:ind w:firstLine="540"/>
        <w:rPr>
          <w:rFonts w:hint="eastAsia"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五、主要完成单位：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武汉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一网万联科技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有限公司</w:t>
      </w:r>
    </w:p>
    <w:p>
      <w:pPr>
        <w:widowControl/>
        <w:shd w:val="clear" w:color="auto" w:fill="FFFFFF"/>
        <w:spacing w:line="500" w:lineRule="atLeast"/>
        <w:ind w:firstLine="540"/>
        <w:rPr>
          <w:rFonts w:hint="eastAsia"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六、完成单位简介：</w:t>
      </w:r>
      <w:bookmarkStart w:id="0" w:name="_GoBack"/>
      <w:bookmarkEnd w:id="0"/>
    </w:p>
    <w:tbl>
      <w:tblPr>
        <w:tblStyle w:val="7"/>
        <w:tblW w:w="48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7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500" w:lineRule="atLeast"/>
              <w:ind w:firstLine="540"/>
              <w:rPr>
                <w:rFonts w:cs="宋体" w:asciiTheme="minorEastAsia" w:hAnsiTheme="minorEastAsia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</w:tcPr>
          <w:p>
            <w:pPr>
              <w:widowControl/>
              <w:shd w:val="clear" w:color="auto" w:fill="FFFFFF"/>
              <w:spacing w:line="500" w:lineRule="atLeast"/>
              <w:ind w:firstLine="540"/>
              <w:rPr>
                <w:rFonts w:cs="宋体" w:asciiTheme="minorEastAsia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8"/>
                <w:szCs w:val="28"/>
              </w:rPr>
              <w:t>武汉一网万联科技有限公司成立于2018年，总部位于武汉东湖新技术开发区（“武汉·中国光谷”），是一家专注全光纤网络（CNFTTD，光纤到桌面）解决方案，研发、生产、销售光纤到桌面系列产品的高科技企业。全光纤网络（CNFTTD，光纤到桌面）解决方案从理论上、技术上、工程上、经济上解决了光纤到桌面（FTTD）技术大规模普及应用的难题，已在医院、政府事业单位、学校、工业园区、县域医共体等场景得到广泛应用。</w:t>
            </w:r>
            <w:r>
              <w:rPr>
                <w:rFonts w:cs="宋体" w:asciiTheme="minorEastAsia" w:hAnsiTheme="minorEastAsia"/>
                <w:color w:val="000000"/>
                <w:kern w:val="0"/>
                <w:sz w:val="28"/>
                <w:szCs w:val="28"/>
                <w:lang w:bidi="en-US"/>
              </w:rPr>
              <w:t>公司成立以来，已申请国家发明专利和实用新型专利共29项（其中20项已授权），研发并量产的产品5种（全部通过国家权威部门检测，已获工信部电信进网许可证8项），已完成工程案例13例；一网万联全光纤网络（CNFTTD,光纤到桌面）解决方案及系列产品深受用户好评，市场反应强烈。</w:t>
            </w:r>
          </w:p>
        </w:tc>
      </w:tr>
    </w:tbl>
    <w:p>
      <w:pPr>
        <w:widowControl/>
        <w:shd w:val="clear" w:color="auto" w:fill="FFFFFF"/>
        <w:spacing w:line="500" w:lineRule="atLeast"/>
        <w:ind w:firstLine="540"/>
        <w:rPr>
          <w:rFonts w:hint="eastAsia"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七、项目简介：</w:t>
      </w:r>
    </w:p>
    <w:p>
      <w:pPr>
        <w:widowControl/>
        <w:shd w:val="clear" w:color="auto" w:fill="FFFFFF"/>
        <w:spacing w:line="500" w:lineRule="atLeast"/>
        <w:ind w:firstLine="540"/>
        <w:rPr>
          <w:rFonts w:cs="宋体" w:asciiTheme="minorEastAsia" w:hAnsiTheme="minorEastAsia"/>
          <w:color w:val="000000"/>
          <w:kern w:val="0"/>
          <w:sz w:val="28"/>
          <w:szCs w:val="28"/>
          <w:lang w:eastAsia="zh-TW" w:bidi="zh-TW"/>
        </w:rPr>
      </w:pPr>
      <w:r>
        <w:rPr>
          <w:rFonts w:cs="宋体" w:asciiTheme="minorEastAsia" w:hAnsiTheme="minorEastAsia"/>
          <w:color w:val="000000"/>
          <w:kern w:val="0"/>
          <w:sz w:val="28"/>
          <w:szCs w:val="28"/>
          <w:lang w:eastAsia="zh-TW" w:bidi="zh-TW"/>
        </w:rPr>
        <w:t>光口设备少是光纤到桌面综合布线系统建设中的一大难点。项目针对这一难题提出了光口归一化技术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bidi="zh-TW"/>
        </w:rPr>
        <w:t>，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eastAsia="zh-TW" w:bidi="zh-TW"/>
        </w:rPr>
        <w:t>比较彻底地解决了光口设备少的难题，为光纤到桌面的大规模普及打下了坚实的基础。</w:t>
      </w:r>
    </w:p>
    <w:p>
      <w:pPr>
        <w:widowControl/>
        <w:shd w:val="clear" w:color="auto" w:fill="FFFFFF"/>
        <w:spacing w:line="500" w:lineRule="atLeast"/>
        <w:ind w:firstLine="540"/>
        <w:rPr>
          <w:rFonts w:cs="宋体" w:asciiTheme="minorEastAsia" w:hAnsiTheme="minorEastAsia"/>
          <w:bCs/>
          <w:color w:val="000000"/>
          <w:kern w:val="0"/>
          <w:sz w:val="28"/>
          <w:szCs w:val="28"/>
          <w:lang w:bidi="zh-TW"/>
        </w:rPr>
      </w:pP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光口设备归一化技术通过把握无源光局域网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en-US"/>
        </w:rPr>
        <w:t>（POL）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的发展趋势, 并在此基础上大胆创新，着重解决了光网络单元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en-US"/>
        </w:rPr>
        <w:t>（ONU</w:t>
      </w:r>
      <w:r>
        <w:rPr>
          <w:rFonts w:hint="eastAsia" w:cs="宋体" w:asciiTheme="minorEastAsia" w:hAnsiTheme="minorEastAsia"/>
          <w:bCs/>
          <w:color w:val="000000"/>
          <w:kern w:val="0"/>
          <w:sz w:val="28"/>
          <w:szCs w:val="28"/>
          <w:lang w:bidi="en-US"/>
        </w:rPr>
        <w:t>，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CN"/>
        </w:rPr>
        <w:t>“光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猫”）小型化过程中遇到的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en-US"/>
        </w:rPr>
        <w:t>BOSA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微型化、电源模块微型化，以及86底盒内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CN"/>
        </w:rPr>
        <w:t>“盘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纤”等技术难题</w:t>
      </w:r>
      <w:r>
        <w:rPr>
          <w:rFonts w:hint="eastAsia" w:cs="宋体" w:asciiTheme="minorEastAsia" w:hAnsiTheme="minorEastAsia"/>
          <w:bCs/>
          <w:color w:val="000000"/>
          <w:kern w:val="0"/>
          <w:sz w:val="28"/>
          <w:szCs w:val="28"/>
          <w:lang w:bidi="zh-TW"/>
        </w:rPr>
        <w:t>，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开发了单口86面板型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en-US"/>
        </w:rPr>
        <w:t>ONU,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很好地解决了各类电脑（包括便携电脑）的光纤连接问题；开发了双口86面板型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en-US"/>
        </w:rPr>
        <w:t>ONU</w:t>
      </w:r>
      <w:r>
        <w:rPr>
          <w:rFonts w:hint="eastAsia" w:cs="宋体" w:asciiTheme="minorEastAsia" w:hAnsiTheme="minorEastAsia"/>
          <w:bCs/>
          <w:color w:val="000000"/>
          <w:kern w:val="0"/>
          <w:sz w:val="28"/>
          <w:szCs w:val="28"/>
          <w:lang w:bidi="en-US"/>
        </w:rPr>
        <w:t>，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很好地解决了普通电话机的光纤连接问题；开发了后出网口86面 板型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en-US"/>
        </w:rPr>
        <w:t>ONU</w:t>
      </w:r>
      <w:r>
        <w:rPr>
          <w:rFonts w:hint="eastAsia" w:cs="宋体" w:asciiTheme="minorEastAsia" w:hAnsiTheme="minorEastAsia"/>
          <w:bCs/>
          <w:color w:val="000000"/>
          <w:kern w:val="0"/>
          <w:sz w:val="28"/>
          <w:szCs w:val="28"/>
          <w:lang w:bidi="en-US"/>
        </w:rPr>
        <w:t>，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很好地解决了各类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en-US"/>
        </w:rPr>
        <w:t>IP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设备（如门禁控制器、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en-US"/>
        </w:rPr>
        <w:t>DDC</w:t>
      </w:r>
      <w:r>
        <w:rPr>
          <w:rFonts w:cs="宋体" w:asciiTheme="minorEastAsia" w:hAnsiTheme="minorEastAsia"/>
          <w:bCs/>
          <w:color w:val="000000"/>
          <w:kern w:val="0"/>
          <w:sz w:val="28"/>
          <w:szCs w:val="28"/>
          <w:lang w:eastAsia="zh-TW" w:bidi="zh-TW"/>
        </w:rPr>
        <w:t>等）的光纤连接问题。</w:t>
      </w:r>
    </w:p>
    <w:p>
      <w:pPr>
        <w:widowControl/>
        <w:shd w:val="clear" w:color="auto" w:fill="FFFFFF"/>
        <w:spacing w:line="500" w:lineRule="atLeast"/>
        <w:ind w:firstLine="540"/>
        <w:rPr>
          <w:rFonts w:cs="宋体" w:asciiTheme="minorEastAsia" w:hAnsiTheme="minorEastAsia"/>
          <w:color w:val="000000"/>
          <w:kern w:val="0"/>
          <w:sz w:val="28"/>
          <w:szCs w:val="28"/>
          <w:lang w:eastAsia="zh-TW" w:bidi="zh-TW"/>
        </w:rPr>
      </w:pPr>
      <w:r>
        <w:rPr>
          <w:rFonts w:cs="宋体" w:asciiTheme="minorEastAsia" w:hAnsiTheme="minorEastAsia"/>
          <w:color w:val="000000"/>
          <w:kern w:val="0"/>
          <w:sz w:val="28"/>
          <w:szCs w:val="28"/>
          <w:lang w:eastAsia="zh-TW" w:bidi="zh-TW"/>
        </w:rPr>
        <w:t>成果已应用于湖北省邮电规划设计院总部大楼、武汉市公积金管理中心办公大楼、武汉新五心食品工业园、宜昌中心人民医院、贵州省铜仁职业技术学院等多家单位和园区，得到用户的一致好评。</w:t>
      </w:r>
    </w:p>
    <w:p>
      <w:pPr>
        <w:widowControl/>
        <w:shd w:val="clear" w:color="auto" w:fill="FFFFFF"/>
        <w:spacing w:line="500" w:lineRule="atLeast"/>
        <w:ind w:firstLine="540"/>
        <w:rPr>
          <w:rFonts w:hint="eastAsia" w:cs="宋体" w:asciiTheme="minorEastAsia" w:hAnsiTheme="minorEastAsia"/>
          <w:color w:val="000000"/>
          <w:kern w:val="0"/>
          <w:sz w:val="28"/>
          <w:szCs w:val="28"/>
          <w:lang w:bidi="zh-TW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bidi="zh-TW"/>
        </w:rPr>
        <w:t>八、主要完成人简介：</w:t>
      </w:r>
    </w:p>
    <w:p>
      <w:pPr>
        <w:widowControl/>
        <w:shd w:val="clear" w:color="auto" w:fill="FFFFFF"/>
        <w:spacing w:line="500" w:lineRule="atLeast"/>
        <w:ind w:firstLine="560" w:firstLineChars="200"/>
        <w:rPr>
          <w:rFonts w:hint="eastAsia" w:cs="宋体" w:asciiTheme="minorEastAsia" w:hAnsiTheme="minorEastAsia"/>
          <w:color w:val="000000"/>
          <w:kern w:val="0"/>
          <w:sz w:val="28"/>
          <w:szCs w:val="28"/>
          <w:lang w:bidi="en-US"/>
        </w:rPr>
      </w:pPr>
      <w:r>
        <w:rPr>
          <w:rFonts w:cs="宋体" w:asciiTheme="minorEastAsia" w:hAnsiTheme="minorEastAsia"/>
          <w:color w:val="000000"/>
          <w:kern w:val="0"/>
          <w:sz w:val="28"/>
          <w:szCs w:val="28"/>
          <w:lang w:val="zh-TW" w:bidi="zh-TW"/>
        </w:rPr>
        <w:t>团队负责人易志雄，博士，具有十五年以上光纤到户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bidi="en-US"/>
        </w:rPr>
        <w:t>（FTTH）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val="zh-TW" w:bidi="zh-TW"/>
        </w:rPr>
        <w:t>标准制定、系统设计、工程施工经验，十分熟悉无源光网络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bidi="en-US"/>
        </w:rPr>
        <w:t>（PON）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val="zh-TW" w:bidi="zh-TW"/>
        </w:rPr>
        <w:t>技术的发展历程，以及无源光局域网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bidi="en-US"/>
        </w:rPr>
        <w:t>（POL）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val="zh-TW" w:bidi="zh-TW"/>
        </w:rPr>
        <w:t>技术的发展趋势，通过深入调研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zh-TW" w:bidi="zh-TW"/>
        </w:rPr>
        <w:t>，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val="zh-TW" w:bidi="zh-TW"/>
        </w:rPr>
        <w:t>大胆创新，在业界率先提出了全光纤网络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bidi="en-US"/>
        </w:rPr>
        <w:t>（CNFTTD,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val="zh-TW" w:bidi="zh-TW"/>
        </w:rPr>
        <w:t>光纤到桌面）解决方案，从理论上、技术上、工程上、经济上解决了光纤到桌面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bidi="en-US"/>
        </w:rPr>
        <w:t>（FTTD）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val="zh-TW" w:bidi="zh-TW"/>
        </w:rPr>
        <w:t>技术大规模普及应用的难题。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bidi="en-US"/>
        </w:rPr>
        <w:t>团队成员易山韬、杜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bidi="en-US"/>
        </w:rPr>
        <w:t>锷</w:t>
      </w:r>
      <w:r>
        <w:rPr>
          <w:rFonts w:cs="宋体" w:asciiTheme="minorEastAsia" w:hAnsiTheme="minorEastAsia"/>
          <w:color w:val="000000"/>
          <w:kern w:val="0"/>
          <w:sz w:val="28"/>
          <w:szCs w:val="28"/>
          <w:lang w:bidi="en-US"/>
        </w:rPr>
        <w:t>云、任洪秋、江兴平均为武汉一网万联科技有限公司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bidi="en-US"/>
        </w:rPr>
        <w:t>研发人员。</w:t>
      </w:r>
    </w:p>
    <w:p>
      <w:pPr>
        <w:widowControl/>
        <w:shd w:val="clear" w:color="auto" w:fill="FFFFFF"/>
        <w:spacing w:line="420" w:lineRule="atLeast"/>
        <w:ind w:firstLine="560" w:firstLineChars="200"/>
        <w:rPr>
          <w:rFonts w:hint="eastAsia" w:cs="宋体" w:asciiTheme="minorEastAsia" w:hAnsiTheme="minorEastAsia"/>
          <w:color w:val="000000"/>
          <w:kern w:val="0"/>
          <w:sz w:val="28"/>
          <w:szCs w:val="28"/>
          <w:lang w:bidi="en-US"/>
        </w:rPr>
      </w:pPr>
    </w:p>
    <w:tbl>
      <w:tblPr>
        <w:tblStyle w:val="7"/>
        <w:tblpPr w:leftFromText="180" w:rightFromText="180" w:vertAnchor="text" w:tblpXSpec="center" w:tblpY="1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72"/>
        <w:gridCol w:w="1281"/>
        <w:gridCol w:w="926"/>
        <w:gridCol w:w="1808"/>
        <w:gridCol w:w="227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 w:hRule="exac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</w:rPr>
              <w:t>序号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</w:rPr>
              <w:t>姓名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</w:rPr>
              <w:t>性别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324" w:lineRule="exact"/>
              <w:ind w:firstLine="0"/>
              <w:jc w:val="center"/>
            </w:pPr>
            <w:r>
              <w:rPr>
                <w:b/>
                <w:bCs/>
                <w:color w:val="000000"/>
              </w:rPr>
              <w:t>出生年月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95" w:lineRule="exact"/>
              <w:ind w:firstLine="0"/>
              <w:jc w:val="center"/>
            </w:pPr>
            <w:r>
              <w:rPr>
                <w:b/>
                <w:bCs/>
                <w:color w:val="000000"/>
              </w:rPr>
              <w:t>文化程度 （学位）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7" w:hRule="exac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6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14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易志雄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4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男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32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lang w:val="en-US" w:eastAsia="en-US" w:bidi="en-US"/>
              </w:rPr>
              <w:t>1965.04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博士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6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易山韬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4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男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32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lang w:val="en-US" w:eastAsia="en-US" w:bidi="en-US"/>
              </w:rPr>
              <w:t>1998.01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本科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6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14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杜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锷</w:t>
            </w:r>
            <w:r>
              <w:rPr>
                <w:rFonts w:hint="eastAsia" w:ascii="宋体" w:hAnsi="宋体" w:eastAsia="宋体" w:cs="宋体"/>
                <w:color w:val="000000"/>
              </w:rPr>
              <w:t>云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4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男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32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lang w:val="en-US" w:eastAsia="en-US" w:bidi="en-US"/>
              </w:rPr>
              <w:t>1968.06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本科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2" w:hRule="exac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6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14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任洪秋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4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男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32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lang w:val="en-US" w:eastAsia="en-US" w:bidi="en-US"/>
              </w:rPr>
              <w:t>1986.07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本科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2" w:hRule="exact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6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14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江兴平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24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男</w:t>
            </w:r>
          </w:p>
        </w:tc>
        <w:tc>
          <w:tcPr>
            <w:tcW w:w="1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320"/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  <w:lang w:val="en-US" w:eastAsia="en-US" w:bidi="en-US"/>
              </w:rPr>
              <w:t>1979.10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4"/>
              <w:spacing w:line="240" w:lineRule="auto"/>
              <w:ind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大专</w:t>
            </w:r>
          </w:p>
        </w:tc>
      </w:tr>
    </w:tbl>
    <w:p>
      <w:pPr>
        <w:widowControl/>
        <w:shd w:val="clear" w:color="auto" w:fill="FFFFFF"/>
        <w:spacing w:line="420" w:lineRule="atLeast"/>
        <w:ind w:firstLine="560" w:firstLineChars="200"/>
        <w:rPr>
          <w:rFonts w:hint="eastAsia" w:cs="宋体" w:asciiTheme="minorEastAsia" w:hAnsiTheme="minorEastAsia"/>
          <w:color w:val="000000"/>
          <w:kern w:val="0"/>
          <w:sz w:val="28"/>
          <w:szCs w:val="28"/>
          <w:lang w:bidi="zh-TW"/>
        </w:rPr>
        <w:sectPr>
          <w:pgSz w:w="11900" w:h="16840"/>
          <w:pgMar w:top="851" w:right="1694" w:bottom="851" w:left="1376" w:header="0" w:footer="3" w:gutter="0"/>
          <w:cols w:space="720" w:num="1"/>
          <w:docGrid w:linePitch="360" w:charSpace="0"/>
        </w:sectPr>
      </w:pPr>
    </w:p>
    <w:tbl>
      <w:tblPr>
        <w:tblStyle w:val="7"/>
        <w:tblpPr w:leftFromText="180" w:rightFromText="180" w:vertAnchor="text" w:horzAnchor="margin" w:tblpY="-8221"/>
        <w:tblW w:w="89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551"/>
        <w:gridCol w:w="4444"/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rPr>
                <w:rFonts w:hint="eastAsia" w:ascii="黑体" w:hAnsi="黑体" w:eastAsia="黑体" w:cs="宋体"/>
                <w:bCs/>
                <w:color w:val="000000"/>
                <w:kern w:val="0"/>
                <w:sz w:val="40"/>
                <w:szCs w:val="40"/>
              </w:rPr>
            </w:pPr>
          </w:p>
          <w:p>
            <w:pPr>
              <w:widowControl/>
              <w:spacing w:line="240" w:lineRule="auto"/>
              <w:rPr>
                <w:rFonts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 w:val="28"/>
                <w:szCs w:val="28"/>
              </w:rPr>
              <w:t>九、主要知识产权目录：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知识产权类别</w:t>
            </w:r>
          </w:p>
        </w:tc>
        <w:tc>
          <w:tcPr>
            <w:tcW w:w="4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知识产权具体名称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授权号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ONU面板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ZL201720731414.0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外观设计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光网络单元（ONU）设备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ZL201930114709.8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一种用于FTTD的ONU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ZL201920349301.3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发明专利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一种光纤到桌面的通信系统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ZL201910210085.9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一种半球摄像头光电转换设备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ZL201920698319.4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外观设计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一种半球摄像头光电转换设备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ZL201930239371.9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一种电源分离型ONU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ZL201921074467.5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外观设计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一种电源分离型ONU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ZL201930366695.9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一种适用于86底盒的ONU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ZL201921075294.9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外观设计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一种适用于86底盒的ONU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ZL201930366694.4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一种ONU单元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ZL201920177644.6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一种光纤链接装置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ZL201920082048.X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一种光纤到桌面的通信系统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ZL201920351544.0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一种小型化ONU主板及ONU设备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ZL201920349364.9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一种用于实现光纤到桌面的装置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ZL201920349304.7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一种电源线可拔插的面板型ONU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ZL201921595961.6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外观设计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电源可拔插的面板型光纤网络单元（ONU）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ZL201930524902.9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一种插座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ZL201922199403.4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一种带独立电源的面板型ONU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ZL201921595973.9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外观设计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面板型光纤网络单元（ONU）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ZL201930524927.9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外观设计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插座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ZL201930691828.X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一种接口后置的ONU面板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ZL202020859317.1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外观设计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光纤网络单元（ONU）设备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ZL202030236162.1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一种适用于底盒装配的ONU面板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ZL202020859932.2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外观设计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光纤网络单元（ONU）设备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ZL202030235475.5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一种光纤通信系统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ZL202021400461.5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实用新型</w:t>
            </w:r>
          </w:p>
        </w:tc>
        <w:tc>
          <w:tcPr>
            <w:tcW w:w="4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一种具备传感监测功能的光纤到桌面的通信系统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ZL202021235814.0</w:t>
            </w:r>
          </w:p>
        </w:tc>
      </w:tr>
    </w:tbl>
    <w:p>
      <w:pPr>
        <w:widowControl/>
        <w:shd w:val="clear" w:color="auto" w:fill="FFFFFF"/>
        <w:spacing w:line="240" w:lineRule="auto"/>
        <w:jc w:val="center"/>
        <w:rPr>
          <w:rFonts w:ascii="微软雅黑" w:hAnsi="微软雅黑" w:eastAsia="宋体" w:cs="宋体"/>
          <w:b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437E"/>
    <w:rsid w:val="0002783A"/>
    <w:rsid w:val="0006068D"/>
    <w:rsid w:val="00093FB5"/>
    <w:rsid w:val="000F799A"/>
    <w:rsid w:val="001B2BFB"/>
    <w:rsid w:val="0021437E"/>
    <w:rsid w:val="002206D4"/>
    <w:rsid w:val="002D013C"/>
    <w:rsid w:val="00324E79"/>
    <w:rsid w:val="003E3A71"/>
    <w:rsid w:val="00415DCA"/>
    <w:rsid w:val="004859BA"/>
    <w:rsid w:val="00487E48"/>
    <w:rsid w:val="00490E96"/>
    <w:rsid w:val="005D0F53"/>
    <w:rsid w:val="00734967"/>
    <w:rsid w:val="00AD1CE5"/>
    <w:rsid w:val="00B34097"/>
    <w:rsid w:val="00D96B75"/>
    <w:rsid w:val="00DB58F2"/>
    <w:rsid w:val="00FE556C"/>
    <w:rsid w:val="409C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1 Char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3">
    <w:name w:val="Other|1_"/>
    <w:basedOn w:val="8"/>
    <w:link w:val="14"/>
    <w:uiPriority w:val="0"/>
    <w:rPr>
      <w:rFonts w:ascii="宋体" w:hAnsi="宋体" w:eastAsia="宋体" w:cs="宋体"/>
      <w:sz w:val="22"/>
      <w:lang w:val="zh-TW" w:eastAsia="zh-TW" w:bidi="zh-TW"/>
    </w:rPr>
  </w:style>
  <w:style w:type="paragraph" w:customStyle="1" w:styleId="14">
    <w:name w:val="Other|1"/>
    <w:basedOn w:val="1"/>
    <w:link w:val="13"/>
    <w:uiPriority w:val="0"/>
    <w:pPr>
      <w:spacing w:line="439" w:lineRule="auto"/>
      <w:ind w:firstLine="400"/>
      <w:jc w:val="left"/>
    </w:pPr>
    <w:rPr>
      <w:rFonts w:ascii="宋体" w:hAnsi="宋体" w:eastAsia="宋体" w:cs="宋体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384</Words>
  <Characters>2195</Characters>
  <Lines>18</Lines>
  <Paragraphs>5</Paragraphs>
  <TotalTime>192</TotalTime>
  <ScaleCrop>false</ScaleCrop>
  <LinksUpToDate>false</LinksUpToDate>
  <CharactersWithSpaces>2574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2021-06-11T03:16:00Z</dcterms:created>
  <dc:creator>User</dc:creator>
  <cp:lastModifiedBy>Administrator</cp:lastModifiedBy>
  <cp:lastPrinted>2021-06-18T04:50:00Z</cp:lastPrinted>
  <dcterms:modified xsi:type="dcterms:W3CDTF">2021-06-22T02:27:23Z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